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4AE3" w14:textId="2684BAD2" w:rsidR="00373AF7" w:rsidRDefault="00470CE8" w:rsidP="00470CE8">
      <w:pPr>
        <w:jc w:val="center"/>
        <w:rPr>
          <w:b/>
          <w:bCs/>
          <w:sz w:val="24"/>
          <w:szCs w:val="24"/>
        </w:rPr>
      </w:pPr>
      <w:r w:rsidRPr="00470CE8">
        <w:rPr>
          <w:b/>
          <w:bCs/>
          <w:sz w:val="24"/>
          <w:szCs w:val="24"/>
        </w:rPr>
        <w:t>Abergavenny Tourist Information Centre Annual Expenditure and Revenue</w:t>
      </w:r>
    </w:p>
    <w:p w14:paraId="0E13AC5B" w14:textId="1CB365A8" w:rsidR="00470CE8" w:rsidRDefault="00470CE8" w:rsidP="00470CE8">
      <w:pPr>
        <w:rPr>
          <w:sz w:val="24"/>
          <w:szCs w:val="24"/>
        </w:rPr>
      </w:pPr>
      <w:r>
        <w:rPr>
          <w:sz w:val="24"/>
          <w:szCs w:val="24"/>
        </w:rPr>
        <w:t>Following a meeting of the Brecon Beacons National Park Authority, Monmouthshire County Council and Abergavenny Town Council on the 15</w:t>
      </w:r>
      <w:r w:rsidRPr="00470CE8">
        <w:rPr>
          <w:sz w:val="24"/>
          <w:szCs w:val="24"/>
          <w:vertAlign w:val="superscript"/>
        </w:rPr>
        <w:t>th of</w:t>
      </w:r>
      <w:r>
        <w:rPr>
          <w:sz w:val="24"/>
          <w:szCs w:val="24"/>
        </w:rPr>
        <w:t xml:space="preserve"> March 2023, a request was made for information with regards the revenue and income of Abergavenny Tourist Information Centre.</w:t>
      </w:r>
    </w:p>
    <w:p w14:paraId="28D74B40" w14:textId="55F045D1" w:rsidR="00470CE8" w:rsidRDefault="00470CE8" w:rsidP="00470CE8">
      <w:pPr>
        <w:rPr>
          <w:sz w:val="24"/>
          <w:szCs w:val="24"/>
        </w:rPr>
      </w:pPr>
      <w:r>
        <w:rPr>
          <w:sz w:val="24"/>
          <w:szCs w:val="24"/>
        </w:rPr>
        <w:t>The table below shows expenditure and income over the past t</w:t>
      </w:r>
      <w:r w:rsidR="00AD1F56">
        <w:rPr>
          <w:sz w:val="24"/>
          <w:szCs w:val="24"/>
        </w:rPr>
        <w:t>hree</w:t>
      </w:r>
      <w:r>
        <w:rPr>
          <w:sz w:val="24"/>
          <w:szCs w:val="24"/>
        </w:rPr>
        <w:t xml:space="preserve"> years, and a budget estimate for the next three years.</w:t>
      </w:r>
    </w:p>
    <w:p w14:paraId="22670CE5" w14:textId="77777777" w:rsidR="00470CE8" w:rsidRDefault="00470CE8" w:rsidP="00470CE8">
      <w:pPr>
        <w:rPr>
          <w:sz w:val="24"/>
          <w:szCs w:val="24"/>
        </w:rPr>
      </w:pPr>
    </w:p>
    <w:tbl>
      <w:tblPr>
        <w:tblStyle w:val="TableGrid"/>
        <w:tblW w:w="0" w:type="auto"/>
        <w:tblLook w:val="04A0" w:firstRow="1" w:lastRow="0" w:firstColumn="1" w:lastColumn="0" w:noHBand="0" w:noVBand="1"/>
      </w:tblPr>
      <w:tblGrid>
        <w:gridCol w:w="1426"/>
        <w:gridCol w:w="1275"/>
        <w:gridCol w:w="1263"/>
        <w:gridCol w:w="1263"/>
        <w:gridCol w:w="1263"/>
        <w:gridCol w:w="1263"/>
        <w:gridCol w:w="1263"/>
      </w:tblGrid>
      <w:tr w:rsidR="00470CE8" w14:paraId="2B20587A" w14:textId="77777777" w:rsidTr="00470CE8">
        <w:tc>
          <w:tcPr>
            <w:tcW w:w="1288" w:type="dxa"/>
          </w:tcPr>
          <w:p w14:paraId="09DA8CFD" w14:textId="77777777" w:rsidR="00470CE8" w:rsidRDefault="00470CE8" w:rsidP="00470CE8">
            <w:pPr>
              <w:rPr>
                <w:sz w:val="24"/>
                <w:szCs w:val="24"/>
              </w:rPr>
            </w:pPr>
          </w:p>
        </w:tc>
        <w:tc>
          <w:tcPr>
            <w:tcW w:w="1288" w:type="dxa"/>
          </w:tcPr>
          <w:p w14:paraId="205F7C16" w14:textId="327EABCB" w:rsidR="00470CE8" w:rsidRPr="00470CE8" w:rsidRDefault="00470CE8" w:rsidP="00470CE8">
            <w:pPr>
              <w:rPr>
                <w:b/>
                <w:bCs/>
                <w:sz w:val="24"/>
                <w:szCs w:val="24"/>
              </w:rPr>
            </w:pPr>
            <w:r w:rsidRPr="00470CE8">
              <w:rPr>
                <w:b/>
                <w:bCs/>
                <w:sz w:val="24"/>
                <w:szCs w:val="24"/>
              </w:rPr>
              <w:t>2020</w:t>
            </w:r>
            <w:r>
              <w:rPr>
                <w:b/>
                <w:bCs/>
                <w:sz w:val="24"/>
                <w:szCs w:val="24"/>
              </w:rPr>
              <w:t>(a)</w:t>
            </w:r>
          </w:p>
        </w:tc>
        <w:tc>
          <w:tcPr>
            <w:tcW w:w="1288" w:type="dxa"/>
          </w:tcPr>
          <w:p w14:paraId="0A2817FC" w14:textId="2CFADADC" w:rsidR="00470CE8" w:rsidRPr="00470CE8" w:rsidRDefault="00470CE8" w:rsidP="00470CE8">
            <w:pPr>
              <w:rPr>
                <w:b/>
                <w:bCs/>
                <w:sz w:val="24"/>
                <w:szCs w:val="24"/>
              </w:rPr>
            </w:pPr>
            <w:r w:rsidRPr="00470CE8">
              <w:rPr>
                <w:b/>
                <w:bCs/>
                <w:sz w:val="24"/>
                <w:szCs w:val="24"/>
              </w:rPr>
              <w:t>2021</w:t>
            </w:r>
            <w:r>
              <w:rPr>
                <w:b/>
                <w:bCs/>
                <w:sz w:val="24"/>
                <w:szCs w:val="24"/>
              </w:rPr>
              <w:t>(a)</w:t>
            </w:r>
          </w:p>
        </w:tc>
        <w:tc>
          <w:tcPr>
            <w:tcW w:w="1288" w:type="dxa"/>
          </w:tcPr>
          <w:p w14:paraId="3F2CD6AB" w14:textId="10250E8D" w:rsidR="00470CE8" w:rsidRPr="00470CE8" w:rsidRDefault="00470CE8" w:rsidP="00470CE8">
            <w:pPr>
              <w:rPr>
                <w:b/>
                <w:bCs/>
                <w:sz w:val="24"/>
                <w:szCs w:val="24"/>
              </w:rPr>
            </w:pPr>
            <w:r w:rsidRPr="00470CE8">
              <w:rPr>
                <w:b/>
                <w:bCs/>
                <w:sz w:val="24"/>
                <w:szCs w:val="24"/>
              </w:rPr>
              <w:t>2022</w:t>
            </w:r>
            <w:r>
              <w:rPr>
                <w:b/>
                <w:bCs/>
                <w:sz w:val="24"/>
                <w:szCs w:val="24"/>
              </w:rPr>
              <w:t>(a)</w:t>
            </w:r>
          </w:p>
        </w:tc>
        <w:tc>
          <w:tcPr>
            <w:tcW w:w="1288" w:type="dxa"/>
          </w:tcPr>
          <w:p w14:paraId="363439D6" w14:textId="4B6A266A" w:rsidR="00470CE8" w:rsidRPr="00470CE8" w:rsidRDefault="00470CE8" w:rsidP="00470CE8">
            <w:pPr>
              <w:rPr>
                <w:b/>
                <w:bCs/>
                <w:sz w:val="24"/>
                <w:szCs w:val="24"/>
              </w:rPr>
            </w:pPr>
            <w:r w:rsidRPr="00470CE8">
              <w:rPr>
                <w:b/>
                <w:bCs/>
                <w:sz w:val="24"/>
                <w:szCs w:val="24"/>
              </w:rPr>
              <w:t>2023</w:t>
            </w:r>
            <w:r>
              <w:rPr>
                <w:b/>
                <w:bCs/>
                <w:sz w:val="24"/>
                <w:szCs w:val="24"/>
              </w:rPr>
              <w:t>(e)</w:t>
            </w:r>
          </w:p>
        </w:tc>
        <w:tc>
          <w:tcPr>
            <w:tcW w:w="1288" w:type="dxa"/>
          </w:tcPr>
          <w:p w14:paraId="0C9B86CF" w14:textId="1B4A0126" w:rsidR="00470CE8" w:rsidRPr="00470CE8" w:rsidRDefault="00470CE8" w:rsidP="00470CE8">
            <w:pPr>
              <w:rPr>
                <w:b/>
                <w:bCs/>
                <w:sz w:val="24"/>
                <w:szCs w:val="24"/>
              </w:rPr>
            </w:pPr>
            <w:r w:rsidRPr="00470CE8">
              <w:rPr>
                <w:b/>
                <w:bCs/>
                <w:sz w:val="24"/>
                <w:szCs w:val="24"/>
              </w:rPr>
              <w:t>2024</w:t>
            </w:r>
            <w:r>
              <w:rPr>
                <w:b/>
                <w:bCs/>
                <w:sz w:val="24"/>
                <w:szCs w:val="24"/>
              </w:rPr>
              <w:t>(e)</w:t>
            </w:r>
          </w:p>
        </w:tc>
        <w:tc>
          <w:tcPr>
            <w:tcW w:w="1288" w:type="dxa"/>
          </w:tcPr>
          <w:p w14:paraId="458F724A" w14:textId="28376B54" w:rsidR="00470CE8" w:rsidRPr="00470CE8" w:rsidRDefault="00470CE8" w:rsidP="00470CE8">
            <w:pPr>
              <w:rPr>
                <w:b/>
                <w:bCs/>
                <w:sz w:val="24"/>
                <w:szCs w:val="24"/>
              </w:rPr>
            </w:pPr>
            <w:r w:rsidRPr="00470CE8">
              <w:rPr>
                <w:b/>
                <w:bCs/>
                <w:sz w:val="24"/>
                <w:szCs w:val="24"/>
              </w:rPr>
              <w:t>2025</w:t>
            </w:r>
            <w:r>
              <w:rPr>
                <w:b/>
                <w:bCs/>
                <w:sz w:val="24"/>
                <w:szCs w:val="24"/>
              </w:rPr>
              <w:t>(e)</w:t>
            </w:r>
          </w:p>
        </w:tc>
      </w:tr>
      <w:tr w:rsidR="00470CE8" w14:paraId="7D9FAB92" w14:textId="77777777" w:rsidTr="00470CE8">
        <w:tc>
          <w:tcPr>
            <w:tcW w:w="1288" w:type="dxa"/>
          </w:tcPr>
          <w:p w14:paraId="12EF00C3" w14:textId="2CF96D9A" w:rsidR="00470CE8" w:rsidRPr="00470CE8" w:rsidRDefault="00470CE8" w:rsidP="00470CE8">
            <w:pPr>
              <w:rPr>
                <w:b/>
                <w:bCs/>
                <w:sz w:val="24"/>
                <w:szCs w:val="24"/>
              </w:rPr>
            </w:pPr>
            <w:r w:rsidRPr="00470CE8">
              <w:rPr>
                <w:b/>
                <w:bCs/>
                <w:sz w:val="24"/>
                <w:szCs w:val="24"/>
              </w:rPr>
              <w:t>Expenditure</w:t>
            </w:r>
          </w:p>
        </w:tc>
        <w:tc>
          <w:tcPr>
            <w:tcW w:w="1288" w:type="dxa"/>
          </w:tcPr>
          <w:p w14:paraId="75FCF468" w14:textId="069BB8B9" w:rsidR="00470CE8" w:rsidRDefault="00470CE8" w:rsidP="00470CE8">
            <w:pPr>
              <w:rPr>
                <w:sz w:val="24"/>
                <w:szCs w:val="24"/>
              </w:rPr>
            </w:pPr>
            <w:r>
              <w:rPr>
                <w:sz w:val="24"/>
                <w:szCs w:val="24"/>
              </w:rPr>
              <w:t>£32,446</w:t>
            </w:r>
          </w:p>
        </w:tc>
        <w:tc>
          <w:tcPr>
            <w:tcW w:w="1288" w:type="dxa"/>
          </w:tcPr>
          <w:p w14:paraId="04392322" w14:textId="734F5B3C" w:rsidR="00470CE8" w:rsidRDefault="00470CE8" w:rsidP="00470CE8">
            <w:pPr>
              <w:rPr>
                <w:sz w:val="24"/>
                <w:szCs w:val="24"/>
              </w:rPr>
            </w:pPr>
            <w:r>
              <w:rPr>
                <w:sz w:val="24"/>
                <w:szCs w:val="24"/>
              </w:rPr>
              <w:t>£33,864</w:t>
            </w:r>
          </w:p>
        </w:tc>
        <w:tc>
          <w:tcPr>
            <w:tcW w:w="1288" w:type="dxa"/>
          </w:tcPr>
          <w:p w14:paraId="1F0591D1" w14:textId="5BCB74A5" w:rsidR="00470CE8" w:rsidRDefault="00AD1F56" w:rsidP="00470CE8">
            <w:pPr>
              <w:rPr>
                <w:sz w:val="24"/>
                <w:szCs w:val="24"/>
              </w:rPr>
            </w:pPr>
            <w:r>
              <w:rPr>
                <w:sz w:val="24"/>
                <w:szCs w:val="24"/>
              </w:rPr>
              <w:t>£35,326</w:t>
            </w:r>
          </w:p>
        </w:tc>
        <w:tc>
          <w:tcPr>
            <w:tcW w:w="1288" w:type="dxa"/>
          </w:tcPr>
          <w:p w14:paraId="33B7B6D3" w14:textId="559FF5C1" w:rsidR="00470CE8" w:rsidRDefault="00AD1F56" w:rsidP="00470CE8">
            <w:pPr>
              <w:rPr>
                <w:sz w:val="24"/>
                <w:szCs w:val="24"/>
              </w:rPr>
            </w:pPr>
            <w:r>
              <w:rPr>
                <w:sz w:val="24"/>
                <w:szCs w:val="24"/>
              </w:rPr>
              <w:t>£37,093</w:t>
            </w:r>
          </w:p>
        </w:tc>
        <w:tc>
          <w:tcPr>
            <w:tcW w:w="1288" w:type="dxa"/>
          </w:tcPr>
          <w:p w14:paraId="29ED8376" w14:textId="6DE7B71C" w:rsidR="00470CE8" w:rsidRDefault="00AD1F56" w:rsidP="00470CE8">
            <w:pPr>
              <w:rPr>
                <w:sz w:val="24"/>
                <w:szCs w:val="24"/>
              </w:rPr>
            </w:pPr>
            <w:r>
              <w:rPr>
                <w:sz w:val="24"/>
                <w:szCs w:val="24"/>
              </w:rPr>
              <w:t>£38,575</w:t>
            </w:r>
          </w:p>
        </w:tc>
        <w:tc>
          <w:tcPr>
            <w:tcW w:w="1288" w:type="dxa"/>
          </w:tcPr>
          <w:p w14:paraId="17D9124C" w14:textId="6D68A0EF" w:rsidR="00470CE8" w:rsidRDefault="00AD1F56" w:rsidP="00470CE8">
            <w:pPr>
              <w:rPr>
                <w:sz w:val="24"/>
                <w:szCs w:val="24"/>
              </w:rPr>
            </w:pPr>
            <w:r>
              <w:rPr>
                <w:sz w:val="24"/>
                <w:szCs w:val="24"/>
              </w:rPr>
              <w:t>£39,733</w:t>
            </w:r>
          </w:p>
        </w:tc>
      </w:tr>
      <w:tr w:rsidR="00470CE8" w14:paraId="5B5D122C" w14:textId="77777777" w:rsidTr="00470CE8">
        <w:tc>
          <w:tcPr>
            <w:tcW w:w="1288" w:type="dxa"/>
          </w:tcPr>
          <w:p w14:paraId="7186088E" w14:textId="74B28F30" w:rsidR="00470CE8" w:rsidRPr="00470CE8" w:rsidRDefault="00470CE8" w:rsidP="00470CE8">
            <w:pPr>
              <w:rPr>
                <w:b/>
                <w:bCs/>
                <w:sz w:val="24"/>
                <w:szCs w:val="24"/>
              </w:rPr>
            </w:pPr>
            <w:r w:rsidRPr="00470CE8">
              <w:rPr>
                <w:b/>
                <w:bCs/>
                <w:sz w:val="24"/>
                <w:szCs w:val="24"/>
              </w:rPr>
              <w:t>Income</w:t>
            </w:r>
          </w:p>
        </w:tc>
        <w:tc>
          <w:tcPr>
            <w:tcW w:w="1288" w:type="dxa"/>
          </w:tcPr>
          <w:p w14:paraId="3E032DFE" w14:textId="45F3355D" w:rsidR="00470CE8" w:rsidRDefault="00470CE8" w:rsidP="00470CE8">
            <w:pPr>
              <w:rPr>
                <w:sz w:val="24"/>
                <w:szCs w:val="24"/>
              </w:rPr>
            </w:pPr>
            <w:r>
              <w:rPr>
                <w:sz w:val="24"/>
                <w:szCs w:val="24"/>
              </w:rPr>
              <w:t>£23,157</w:t>
            </w:r>
            <w:r w:rsidR="00AD1F56">
              <w:rPr>
                <w:sz w:val="24"/>
                <w:szCs w:val="24"/>
              </w:rPr>
              <w:t>*</w:t>
            </w:r>
          </w:p>
        </w:tc>
        <w:tc>
          <w:tcPr>
            <w:tcW w:w="1288" w:type="dxa"/>
          </w:tcPr>
          <w:p w14:paraId="1B082D3C" w14:textId="4B34BBE2" w:rsidR="00470CE8" w:rsidRDefault="00470CE8" w:rsidP="00470CE8">
            <w:pPr>
              <w:rPr>
                <w:sz w:val="24"/>
                <w:szCs w:val="24"/>
              </w:rPr>
            </w:pPr>
            <w:r>
              <w:rPr>
                <w:sz w:val="24"/>
                <w:szCs w:val="24"/>
              </w:rPr>
              <w:t>£29,517</w:t>
            </w:r>
          </w:p>
        </w:tc>
        <w:tc>
          <w:tcPr>
            <w:tcW w:w="1288" w:type="dxa"/>
          </w:tcPr>
          <w:p w14:paraId="23BC26F9" w14:textId="78C6B504" w:rsidR="00470CE8" w:rsidRDefault="00AD1F56" w:rsidP="00470CE8">
            <w:pPr>
              <w:rPr>
                <w:sz w:val="24"/>
                <w:szCs w:val="24"/>
              </w:rPr>
            </w:pPr>
            <w:r>
              <w:rPr>
                <w:sz w:val="24"/>
                <w:szCs w:val="24"/>
              </w:rPr>
              <w:t>£27,021</w:t>
            </w:r>
          </w:p>
        </w:tc>
        <w:tc>
          <w:tcPr>
            <w:tcW w:w="1288" w:type="dxa"/>
          </w:tcPr>
          <w:p w14:paraId="042FDF93" w14:textId="74A3C989" w:rsidR="00470CE8" w:rsidRDefault="00AD1F56" w:rsidP="00470CE8">
            <w:pPr>
              <w:rPr>
                <w:sz w:val="24"/>
                <w:szCs w:val="24"/>
              </w:rPr>
            </w:pPr>
            <w:r>
              <w:rPr>
                <w:sz w:val="24"/>
                <w:szCs w:val="24"/>
              </w:rPr>
              <w:t>£30,000</w:t>
            </w:r>
          </w:p>
        </w:tc>
        <w:tc>
          <w:tcPr>
            <w:tcW w:w="1288" w:type="dxa"/>
          </w:tcPr>
          <w:p w14:paraId="3BA0B7F6" w14:textId="369E5200" w:rsidR="00470CE8" w:rsidRDefault="00AD1F56" w:rsidP="00470CE8">
            <w:pPr>
              <w:rPr>
                <w:sz w:val="24"/>
                <w:szCs w:val="24"/>
              </w:rPr>
            </w:pPr>
            <w:r>
              <w:rPr>
                <w:sz w:val="24"/>
                <w:szCs w:val="24"/>
              </w:rPr>
              <w:t>£31,500</w:t>
            </w:r>
          </w:p>
        </w:tc>
        <w:tc>
          <w:tcPr>
            <w:tcW w:w="1288" w:type="dxa"/>
          </w:tcPr>
          <w:p w14:paraId="1FBE1CA1" w14:textId="0CB90055" w:rsidR="00470CE8" w:rsidRDefault="00AD1F56" w:rsidP="00470CE8">
            <w:pPr>
              <w:rPr>
                <w:sz w:val="24"/>
                <w:szCs w:val="24"/>
              </w:rPr>
            </w:pPr>
            <w:r>
              <w:rPr>
                <w:sz w:val="24"/>
                <w:szCs w:val="24"/>
              </w:rPr>
              <w:t>£33,075</w:t>
            </w:r>
          </w:p>
        </w:tc>
      </w:tr>
      <w:tr w:rsidR="00470CE8" w14:paraId="6825E80A" w14:textId="77777777" w:rsidTr="00470CE8">
        <w:tc>
          <w:tcPr>
            <w:tcW w:w="1288" w:type="dxa"/>
          </w:tcPr>
          <w:p w14:paraId="1C8EF8FB" w14:textId="482FF44A" w:rsidR="00470CE8" w:rsidRPr="00470CE8" w:rsidRDefault="00470CE8" w:rsidP="00470CE8">
            <w:pPr>
              <w:rPr>
                <w:b/>
                <w:bCs/>
                <w:sz w:val="24"/>
                <w:szCs w:val="24"/>
              </w:rPr>
            </w:pPr>
            <w:r w:rsidRPr="00470CE8">
              <w:rPr>
                <w:b/>
                <w:bCs/>
                <w:sz w:val="24"/>
                <w:szCs w:val="24"/>
              </w:rPr>
              <w:t>Over/Under</w:t>
            </w:r>
          </w:p>
        </w:tc>
        <w:tc>
          <w:tcPr>
            <w:tcW w:w="1288" w:type="dxa"/>
          </w:tcPr>
          <w:p w14:paraId="33F2643D" w14:textId="1FB6B318" w:rsidR="00470CE8" w:rsidRPr="00AD1F56" w:rsidRDefault="00470CE8" w:rsidP="00470CE8">
            <w:pPr>
              <w:rPr>
                <w:b/>
                <w:bCs/>
                <w:sz w:val="24"/>
                <w:szCs w:val="24"/>
              </w:rPr>
            </w:pPr>
            <w:r w:rsidRPr="00AD1F56">
              <w:rPr>
                <w:b/>
                <w:bCs/>
                <w:sz w:val="24"/>
                <w:szCs w:val="24"/>
              </w:rPr>
              <w:t>£9,289</w:t>
            </w:r>
          </w:p>
        </w:tc>
        <w:tc>
          <w:tcPr>
            <w:tcW w:w="1288" w:type="dxa"/>
          </w:tcPr>
          <w:p w14:paraId="74FC54B2" w14:textId="5EBEE45C" w:rsidR="00470CE8" w:rsidRPr="00AD1F56" w:rsidRDefault="00470CE8" w:rsidP="00470CE8">
            <w:pPr>
              <w:rPr>
                <w:b/>
                <w:bCs/>
                <w:sz w:val="24"/>
                <w:szCs w:val="24"/>
              </w:rPr>
            </w:pPr>
            <w:r w:rsidRPr="00AD1F56">
              <w:rPr>
                <w:b/>
                <w:bCs/>
                <w:sz w:val="24"/>
                <w:szCs w:val="24"/>
              </w:rPr>
              <w:t>£4,347</w:t>
            </w:r>
          </w:p>
        </w:tc>
        <w:tc>
          <w:tcPr>
            <w:tcW w:w="1288" w:type="dxa"/>
          </w:tcPr>
          <w:p w14:paraId="0F4A1705" w14:textId="1708C06C" w:rsidR="00470CE8" w:rsidRPr="00AD1F56" w:rsidRDefault="00AD1F56" w:rsidP="00470CE8">
            <w:pPr>
              <w:rPr>
                <w:b/>
                <w:bCs/>
                <w:sz w:val="24"/>
                <w:szCs w:val="24"/>
              </w:rPr>
            </w:pPr>
            <w:r w:rsidRPr="00AD1F56">
              <w:rPr>
                <w:b/>
                <w:bCs/>
                <w:sz w:val="24"/>
                <w:szCs w:val="24"/>
              </w:rPr>
              <w:t>£8,305</w:t>
            </w:r>
          </w:p>
        </w:tc>
        <w:tc>
          <w:tcPr>
            <w:tcW w:w="1288" w:type="dxa"/>
          </w:tcPr>
          <w:p w14:paraId="2861D317" w14:textId="6D9908A1" w:rsidR="00470CE8" w:rsidRPr="00AD1F56" w:rsidRDefault="00AD1F56" w:rsidP="00470CE8">
            <w:pPr>
              <w:rPr>
                <w:b/>
                <w:bCs/>
                <w:sz w:val="24"/>
                <w:szCs w:val="24"/>
              </w:rPr>
            </w:pPr>
            <w:r w:rsidRPr="00AD1F56">
              <w:rPr>
                <w:b/>
                <w:bCs/>
                <w:sz w:val="24"/>
                <w:szCs w:val="24"/>
              </w:rPr>
              <w:t>£7,093</w:t>
            </w:r>
          </w:p>
        </w:tc>
        <w:tc>
          <w:tcPr>
            <w:tcW w:w="1288" w:type="dxa"/>
          </w:tcPr>
          <w:p w14:paraId="4BEBDCA4" w14:textId="2422A199" w:rsidR="00470CE8" w:rsidRPr="00AD1F56" w:rsidRDefault="00AD1F56" w:rsidP="00470CE8">
            <w:pPr>
              <w:rPr>
                <w:b/>
                <w:bCs/>
                <w:sz w:val="24"/>
                <w:szCs w:val="24"/>
              </w:rPr>
            </w:pPr>
            <w:r w:rsidRPr="00AD1F56">
              <w:rPr>
                <w:b/>
                <w:bCs/>
                <w:sz w:val="24"/>
                <w:szCs w:val="24"/>
              </w:rPr>
              <w:t>£7,075</w:t>
            </w:r>
          </w:p>
        </w:tc>
        <w:tc>
          <w:tcPr>
            <w:tcW w:w="1288" w:type="dxa"/>
          </w:tcPr>
          <w:p w14:paraId="327C5DC4" w14:textId="4B2AD9D2" w:rsidR="00470CE8" w:rsidRPr="00AD1F56" w:rsidRDefault="00AD1F56" w:rsidP="00470CE8">
            <w:pPr>
              <w:rPr>
                <w:b/>
                <w:bCs/>
                <w:sz w:val="24"/>
                <w:szCs w:val="24"/>
              </w:rPr>
            </w:pPr>
            <w:r w:rsidRPr="00AD1F56">
              <w:rPr>
                <w:b/>
                <w:bCs/>
                <w:sz w:val="24"/>
                <w:szCs w:val="24"/>
              </w:rPr>
              <w:t>£6,658</w:t>
            </w:r>
          </w:p>
        </w:tc>
      </w:tr>
    </w:tbl>
    <w:p w14:paraId="05C4762D" w14:textId="77777777" w:rsidR="00470CE8" w:rsidRDefault="00470CE8" w:rsidP="00470CE8">
      <w:pPr>
        <w:rPr>
          <w:sz w:val="24"/>
          <w:szCs w:val="24"/>
        </w:rPr>
      </w:pPr>
    </w:p>
    <w:p w14:paraId="78FE459F" w14:textId="465DFE94" w:rsidR="00470CE8" w:rsidRDefault="00AD1F56" w:rsidP="00AD1F56">
      <w:pPr>
        <w:rPr>
          <w:sz w:val="24"/>
          <w:szCs w:val="24"/>
        </w:rPr>
      </w:pPr>
      <w:r w:rsidRPr="00AD1F56">
        <w:rPr>
          <w:sz w:val="24"/>
          <w:szCs w:val="24"/>
        </w:rPr>
        <w:t>*</w:t>
      </w:r>
      <w:r>
        <w:rPr>
          <w:sz w:val="24"/>
          <w:szCs w:val="24"/>
        </w:rPr>
        <w:t xml:space="preserve"> COVID – Closed for lockdown periods</w:t>
      </w:r>
    </w:p>
    <w:p w14:paraId="2369F4D4" w14:textId="3318972C" w:rsidR="00AD1F56" w:rsidRDefault="00AD1F56" w:rsidP="00AD1F56">
      <w:pPr>
        <w:rPr>
          <w:sz w:val="24"/>
          <w:szCs w:val="24"/>
        </w:rPr>
      </w:pPr>
      <w:r>
        <w:rPr>
          <w:sz w:val="24"/>
          <w:szCs w:val="24"/>
        </w:rPr>
        <w:t>The original agreement between the three parties was an equal split of value of approx. £10k.</w:t>
      </w:r>
      <w:r w:rsidR="00352AE6">
        <w:rPr>
          <w:sz w:val="24"/>
          <w:szCs w:val="24"/>
        </w:rPr>
        <w:t xml:space="preserve">  MCC and ATC would be cash contributors, while BBNPA would manage the service, </w:t>
      </w:r>
      <w:r w:rsidR="00BD0952">
        <w:rPr>
          <w:sz w:val="24"/>
          <w:szCs w:val="24"/>
        </w:rPr>
        <w:t>including</w:t>
      </w:r>
      <w:r w:rsidR="00352AE6">
        <w:rPr>
          <w:sz w:val="24"/>
          <w:szCs w:val="24"/>
        </w:rPr>
        <w:t xml:space="preserve"> all the</w:t>
      </w:r>
      <w:r w:rsidR="00BD0952">
        <w:rPr>
          <w:sz w:val="24"/>
          <w:szCs w:val="24"/>
        </w:rPr>
        <w:t xml:space="preserve"> finance, HR</w:t>
      </w:r>
      <w:r w:rsidR="00352AE6">
        <w:rPr>
          <w:sz w:val="24"/>
          <w:szCs w:val="24"/>
        </w:rPr>
        <w:t xml:space="preserve">, IT and retail </w:t>
      </w:r>
      <w:r w:rsidR="00BD0952">
        <w:rPr>
          <w:sz w:val="24"/>
          <w:szCs w:val="24"/>
        </w:rPr>
        <w:t>services.</w:t>
      </w:r>
    </w:p>
    <w:p w14:paraId="1F419903" w14:textId="4B841BCE" w:rsidR="00BD0952" w:rsidRDefault="00BD0952" w:rsidP="00AD1F56">
      <w:pPr>
        <w:rPr>
          <w:sz w:val="24"/>
          <w:szCs w:val="24"/>
        </w:rPr>
      </w:pPr>
      <w:r>
        <w:rPr>
          <w:sz w:val="24"/>
          <w:szCs w:val="24"/>
        </w:rPr>
        <w:t>There has historically been a small overspend at the end of the financial year, which BBNPA ha</w:t>
      </w:r>
      <w:r w:rsidR="00B01D2C">
        <w:rPr>
          <w:sz w:val="24"/>
          <w:szCs w:val="24"/>
        </w:rPr>
        <w:t>s</w:t>
      </w:r>
      <w:r>
        <w:rPr>
          <w:sz w:val="24"/>
          <w:szCs w:val="24"/>
        </w:rPr>
        <w:t xml:space="preserve"> picked up, and as this has been a relatively small amount, usually in the £1k - £3K bracket</w:t>
      </w:r>
      <w:r w:rsidR="00B01D2C">
        <w:rPr>
          <w:sz w:val="24"/>
          <w:szCs w:val="24"/>
        </w:rPr>
        <w:t>, we have been content to do so.</w:t>
      </w:r>
    </w:p>
    <w:p w14:paraId="3DCAFAA8" w14:textId="243BF5E9" w:rsidR="00BD0952" w:rsidRDefault="00BD0952" w:rsidP="00AD1F56">
      <w:pPr>
        <w:rPr>
          <w:sz w:val="24"/>
          <w:szCs w:val="24"/>
        </w:rPr>
      </w:pPr>
      <w:r>
        <w:rPr>
          <w:sz w:val="24"/>
          <w:szCs w:val="24"/>
        </w:rPr>
        <w:t>However, over recent years the costs of running the service have increased, while the income received has remained broadly static.  This has resulted in the annual overspend creeping upwards, which the BBNPA have continued to cover.  There was of course a hit to income in 2020 in the height of COVID, but as you can see from the above table, inflationary pressures are now having an impact on costs.</w:t>
      </w:r>
    </w:p>
    <w:p w14:paraId="3CF80795" w14:textId="697B9983" w:rsidR="00BD0952" w:rsidRDefault="00BD0952" w:rsidP="00AD1F56">
      <w:pPr>
        <w:rPr>
          <w:sz w:val="24"/>
          <w:szCs w:val="24"/>
        </w:rPr>
      </w:pPr>
      <w:r>
        <w:rPr>
          <w:sz w:val="24"/>
          <w:szCs w:val="24"/>
        </w:rPr>
        <w:t>We are hopeful that the opening of the Theatre Box Office will have a</w:t>
      </w:r>
      <w:r w:rsidR="00B01D2C">
        <w:rPr>
          <w:sz w:val="24"/>
          <w:szCs w:val="24"/>
        </w:rPr>
        <w:t xml:space="preserve"> positive</w:t>
      </w:r>
      <w:r>
        <w:rPr>
          <w:sz w:val="24"/>
          <w:szCs w:val="24"/>
        </w:rPr>
        <w:t xml:space="preserve"> impact on retail sales, and this is reflected in the budget estimate provided.  However, this does still leave annual overspends averaging around the £7k mark.</w:t>
      </w:r>
    </w:p>
    <w:p w14:paraId="77F1A732" w14:textId="66895063" w:rsidR="00BD0952" w:rsidRDefault="00BD0952" w:rsidP="00AD1F56">
      <w:pPr>
        <w:rPr>
          <w:sz w:val="24"/>
          <w:szCs w:val="24"/>
        </w:rPr>
      </w:pPr>
      <w:r>
        <w:rPr>
          <w:sz w:val="24"/>
          <w:szCs w:val="24"/>
        </w:rPr>
        <w:t>While as mentioned small overspends were tolerated, these are now increasing as per the table above.  I was heartened to hear at our meeting that this has been recognised, and that a sharing of the extra costs between the three partners would be considered.</w:t>
      </w:r>
    </w:p>
    <w:p w14:paraId="25640D5C" w14:textId="4191EEB5" w:rsidR="00BD0952" w:rsidRDefault="00BD0952" w:rsidP="00AD1F56">
      <w:pPr>
        <w:rPr>
          <w:sz w:val="24"/>
          <w:szCs w:val="24"/>
        </w:rPr>
      </w:pPr>
      <w:r>
        <w:rPr>
          <w:sz w:val="24"/>
          <w:szCs w:val="24"/>
        </w:rPr>
        <w:t>If any further information is required</w:t>
      </w:r>
      <w:r w:rsidR="00782A1C">
        <w:rPr>
          <w:sz w:val="24"/>
          <w:szCs w:val="24"/>
        </w:rPr>
        <w:t xml:space="preserve">, then do not hesitate to contact </w:t>
      </w:r>
      <w:r w:rsidR="00B40076">
        <w:rPr>
          <w:sz w:val="24"/>
          <w:szCs w:val="24"/>
        </w:rPr>
        <w:t>me.</w:t>
      </w:r>
    </w:p>
    <w:p w14:paraId="327A86A1" w14:textId="63B19F3A" w:rsidR="00782A1C" w:rsidRPr="00782A1C" w:rsidRDefault="00782A1C" w:rsidP="00AD1F56">
      <w:pPr>
        <w:rPr>
          <w:b/>
          <w:bCs/>
          <w:sz w:val="24"/>
          <w:szCs w:val="24"/>
        </w:rPr>
      </w:pPr>
      <w:r w:rsidRPr="00782A1C">
        <w:rPr>
          <w:b/>
          <w:bCs/>
          <w:sz w:val="24"/>
          <w:szCs w:val="24"/>
        </w:rPr>
        <w:t>Wayne Lewis</w:t>
      </w:r>
    </w:p>
    <w:p w14:paraId="3034DFD9" w14:textId="32D05690" w:rsidR="00782A1C" w:rsidRPr="00782A1C" w:rsidRDefault="00782A1C" w:rsidP="00AD1F56">
      <w:pPr>
        <w:rPr>
          <w:b/>
          <w:bCs/>
          <w:sz w:val="24"/>
          <w:szCs w:val="24"/>
        </w:rPr>
      </w:pPr>
      <w:r w:rsidRPr="00782A1C">
        <w:rPr>
          <w:b/>
          <w:bCs/>
          <w:sz w:val="24"/>
          <w:szCs w:val="24"/>
        </w:rPr>
        <w:t>Commercial Manager</w:t>
      </w:r>
    </w:p>
    <w:p w14:paraId="6F7642CE" w14:textId="7E27D515" w:rsidR="00782A1C" w:rsidRPr="00782A1C" w:rsidRDefault="00782A1C" w:rsidP="00AD1F56">
      <w:pPr>
        <w:rPr>
          <w:b/>
          <w:bCs/>
          <w:sz w:val="24"/>
          <w:szCs w:val="24"/>
        </w:rPr>
      </w:pPr>
      <w:r w:rsidRPr="00782A1C">
        <w:rPr>
          <w:b/>
          <w:bCs/>
          <w:sz w:val="24"/>
          <w:szCs w:val="24"/>
        </w:rPr>
        <w:t>Brecon Beacons National Park.</w:t>
      </w:r>
    </w:p>
    <w:sectPr w:rsidR="00782A1C" w:rsidRPr="00782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061"/>
    <w:multiLevelType w:val="hybridMultilevel"/>
    <w:tmpl w:val="F8709BE4"/>
    <w:lvl w:ilvl="0" w:tplc="BAA8757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435B0"/>
    <w:multiLevelType w:val="hybridMultilevel"/>
    <w:tmpl w:val="953A57EC"/>
    <w:lvl w:ilvl="0" w:tplc="5E009F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880023">
    <w:abstractNumId w:val="1"/>
  </w:num>
  <w:num w:numId="2" w16cid:durableId="71855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E8"/>
    <w:rsid w:val="00352AE6"/>
    <w:rsid w:val="00373AF7"/>
    <w:rsid w:val="00470CE8"/>
    <w:rsid w:val="00782A1C"/>
    <w:rsid w:val="00AD1F56"/>
    <w:rsid w:val="00B01D2C"/>
    <w:rsid w:val="00B40076"/>
    <w:rsid w:val="00BD0952"/>
    <w:rsid w:val="00CA3928"/>
    <w:rsid w:val="00CA536E"/>
    <w:rsid w:val="00EF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ACB0"/>
  <w15:chartTrackingRefBased/>
  <w15:docId w15:val="{9EED3CBD-EE4A-41B2-B673-4F8C39D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Lewis</dc:creator>
  <cp:keywords/>
  <dc:description/>
  <cp:lastModifiedBy>Zoe Morris</cp:lastModifiedBy>
  <cp:revision>2</cp:revision>
  <dcterms:created xsi:type="dcterms:W3CDTF">2023-07-23T17:01:00Z</dcterms:created>
  <dcterms:modified xsi:type="dcterms:W3CDTF">2023-07-23T17:01:00Z</dcterms:modified>
</cp:coreProperties>
</file>