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643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1832"/>
        <w:gridCol w:w="1612"/>
        <w:gridCol w:w="1583"/>
        <w:gridCol w:w="1624"/>
        <w:gridCol w:w="1985"/>
        <w:gridCol w:w="1275"/>
        <w:gridCol w:w="1418"/>
        <w:gridCol w:w="1843"/>
        <w:gridCol w:w="1134"/>
        <w:gridCol w:w="992"/>
        <w:gridCol w:w="1134"/>
      </w:tblGrid>
      <w:tr w:rsidR="00E03B1C" w14:paraId="556C1DE2" w14:textId="77777777" w:rsidTr="00FB2A00">
        <w:tc>
          <w:tcPr>
            <w:tcW w:w="1832" w:type="dxa"/>
          </w:tcPr>
          <w:p w14:paraId="2D67A5D3" w14:textId="77777777" w:rsidR="00E03B1C" w:rsidRPr="001943AE" w:rsidRDefault="00E03B1C" w:rsidP="00FB2A00">
            <w:pPr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612" w:type="dxa"/>
          </w:tcPr>
          <w:p w14:paraId="7C5161EC" w14:textId="6607F86A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>Payment</w:t>
            </w:r>
          </w:p>
          <w:p w14:paraId="59268582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35DC9FEC" w14:textId="555E5862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="00EE55D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6BEFF673" w14:textId="77777777" w:rsidR="00E03B1C" w:rsidRDefault="00E03B1C" w:rsidP="00FB2A00">
            <w:pPr>
              <w:jc w:val="center"/>
              <w:rPr>
                <w:sz w:val="20"/>
                <w:szCs w:val="20"/>
              </w:rPr>
            </w:pPr>
          </w:p>
          <w:p w14:paraId="6FCE922F" w14:textId="3CA0767A" w:rsidR="00E03B1C" w:rsidRPr="005F07C1" w:rsidRDefault="00E03B1C" w:rsidP="00FB2A00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5B389E">
              <w:rPr>
                <w:sz w:val="20"/>
                <w:szCs w:val="20"/>
              </w:rPr>
              <w:t>C</w:t>
            </w:r>
            <w:r w:rsidR="005B389E" w:rsidRPr="005F07C1">
              <w:rPr>
                <w:sz w:val="20"/>
                <w:szCs w:val="20"/>
              </w:rPr>
              <w:t>ouncillors,</w:t>
            </w:r>
            <w:r w:rsidRPr="005F07C1">
              <w:rPr>
                <w:sz w:val="20"/>
                <w:szCs w:val="20"/>
              </w:rPr>
              <w:t xml:space="preserve">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2CB1161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3669D44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32AC0A2D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943AE">
              <w:rPr>
                <w:b/>
                <w:sz w:val="20"/>
                <w:szCs w:val="20"/>
              </w:rPr>
              <w:t>members</w:t>
            </w:r>
            <w:proofErr w:type="gramEnd"/>
          </w:p>
          <w:p w14:paraId="0D0F3D56" w14:textId="77777777" w:rsidR="00E03B1C" w:rsidRDefault="00E03B1C" w:rsidP="00FB2A00">
            <w:pPr>
              <w:jc w:val="center"/>
              <w:rPr>
                <w:sz w:val="20"/>
                <w:szCs w:val="20"/>
              </w:rPr>
            </w:pPr>
          </w:p>
          <w:p w14:paraId="1CB0CFAE" w14:textId="77777777" w:rsidR="00E03B1C" w:rsidRPr="005F07C1" w:rsidRDefault="00E03B1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624" w:type="dxa"/>
          </w:tcPr>
          <w:p w14:paraId="461C0BF8" w14:textId="5AD1E86D" w:rsidR="00E03B1C" w:rsidRPr="001943AE" w:rsidRDefault="00E802B2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or</w:t>
            </w:r>
            <w:r w:rsidR="00E03B1C">
              <w:rPr>
                <w:b/>
                <w:sz w:val="20"/>
                <w:szCs w:val="20"/>
              </w:rPr>
              <w:t xml:space="preserve"> </w:t>
            </w:r>
            <w:r w:rsidR="00E03B1C" w:rsidRPr="001943AE">
              <w:rPr>
                <w:b/>
                <w:sz w:val="20"/>
                <w:szCs w:val="20"/>
              </w:rPr>
              <w:t>Mayor’s</w:t>
            </w:r>
          </w:p>
          <w:p w14:paraId="3D04070E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5E8F7562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40970D83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DEE3D6B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985" w:type="dxa"/>
          </w:tcPr>
          <w:p w14:paraId="37B7221D" w14:textId="41CE8958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</w:t>
            </w:r>
          </w:p>
          <w:p w14:paraId="07A49046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4F3F89D2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3972690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68AF4404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6D14843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4ED76D12" w14:textId="2CF3B198" w:rsidR="00FB2A00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</w:t>
            </w:r>
            <w:r w:rsidR="00FB2A00">
              <w:rPr>
                <w:b/>
                <w:sz w:val="20"/>
                <w:szCs w:val="20"/>
              </w:rPr>
              <w:t>l</w:t>
            </w:r>
          </w:p>
          <w:p w14:paraId="45CE0104" w14:textId="649CED23" w:rsidR="00E03B1C" w:rsidRPr="00FB2A00" w:rsidRDefault="00FB2A00" w:rsidP="00FB2A00">
            <w:pPr>
              <w:jc w:val="center"/>
              <w:rPr>
                <w:b/>
                <w:vanish/>
                <w:sz w:val="20"/>
                <w:szCs w:val="20"/>
                <w:specVanish/>
              </w:rPr>
            </w:pPr>
            <w:r>
              <w:rPr>
                <w:b/>
                <w:sz w:val="20"/>
                <w:szCs w:val="20"/>
              </w:rPr>
              <w:t>an</w:t>
            </w:r>
            <w:r w:rsidR="00E03B1C">
              <w:rPr>
                <w:b/>
                <w:sz w:val="20"/>
                <w:szCs w:val="20"/>
              </w:rPr>
              <w:t>d</w:t>
            </w:r>
            <w:r w:rsidR="00E03B1C"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0B09C5A8" w14:textId="77777777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07149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336BA49" w14:textId="7777777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15956846" w14:textId="2B77D674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reimbursed</w:t>
            </w:r>
          </w:p>
          <w:p w14:paraId="1FCE12AF" w14:textId="2F6ADFAE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the year and NOT payment to each member.</w:t>
            </w:r>
          </w:p>
        </w:tc>
        <w:tc>
          <w:tcPr>
            <w:tcW w:w="1134" w:type="dxa"/>
          </w:tcPr>
          <w:p w14:paraId="415DA542" w14:textId="3576E1F7" w:rsidR="00E03B1C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</w:t>
            </w:r>
            <w:r w:rsidR="00A3198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ance Allow</w:t>
            </w:r>
            <w:r w:rsidR="00A31980">
              <w:rPr>
                <w:b/>
                <w:sz w:val="20"/>
                <w:szCs w:val="20"/>
              </w:rPr>
              <w:t>--</w:t>
            </w:r>
            <w:r>
              <w:rPr>
                <w:b/>
                <w:sz w:val="20"/>
                <w:szCs w:val="20"/>
              </w:rPr>
              <w:t>ance</w:t>
            </w:r>
          </w:p>
          <w:p w14:paraId="3B2B6B1B" w14:textId="77777777" w:rsidR="0098130B" w:rsidRDefault="0098130B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5B55FCD1" w14:textId="3B6C13C9" w:rsidR="00EE55DC" w:rsidRPr="001943AE" w:rsidRDefault="00EE55DC" w:rsidP="00FB2A00">
            <w:pPr>
              <w:jc w:val="center"/>
              <w:rPr>
                <w:b/>
                <w:sz w:val="20"/>
                <w:szCs w:val="20"/>
              </w:rPr>
            </w:pPr>
          </w:p>
          <w:p w14:paraId="536972DF" w14:textId="1F71967F" w:rsidR="0098130B" w:rsidRPr="001943AE" w:rsidRDefault="0098130B" w:rsidP="00FB2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9DD62" w14:textId="77777777" w:rsidR="00E03B1C" w:rsidRPr="0098130B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98130B">
              <w:rPr>
                <w:b/>
                <w:sz w:val="20"/>
                <w:szCs w:val="20"/>
              </w:rPr>
              <w:t>Other</w:t>
            </w:r>
          </w:p>
          <w:p w14:paraId="449EF54E" w14:textId="77777777" w:rsidR="0098130B" w:rsidRPr="0098130B" w:rsidRDefault="0098130B" w:rsidP="00FB2A0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3FAF8177" w14:textId="3C3FD9A4" w:rsidR="0098130B" w:rsidRPr="0098130B" w:rsidRDefault="0098130B" w:rsidP="00FB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B068D6B" w14:textId="3213F140" w:rsidR="00E03B1C" w:rsidRPr="001943AE" w:rsidRDefault="00E03B1C" w:rsidP="00FB2A0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Total</w:t>
            </w:r>
          </w:p>
        </w:tc>
      </w:tr>
      <w:tr w:rsidR="00E03B1C" w14:paraId="578D4C61" w14:textId="77777777" w:rsidTr="00FB2A00">
        <w:tc>
          <w:tcPr>
            <w:tcW w:w="1832" w:type="dxa"/>
          </w:tcPr>
          <w:p w14:paraId="1EA3B3D0" w14:textId="47D2E92C" w:rsidR="00E03B1C" w:rsidRPr="001943AE" w:rsidRDefault="00E03B1C" w:rsidP="00FB2A00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</w:tcPr>
          <w:p w14:paraId="0935F075" w14:textId="428D751E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75566D53" w14:textId="17235C02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AD0B88" w14:textId="7777777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015FA" w14:textId="7777777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781328" w14:textId="7777777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39869" w14:textId="062D690A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C7AB46F" w14:textId="7777777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4A5A8" w14:textId="7777777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A68DA51" w14:textId="007C5E27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C4705" w14:textId="5019BB25" w:rsidR="00E03B1C" w:rsidRPr="001943AE" w:rsidRDefault="00E03B1C" w:rsidP="00FB2A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3B1C" w14:paraId="337C6CD7" w14:textId="77777777" w:rsidTr="00FB2A00">
        <w:tc>
          <w:tcPr>
            <w:tcW w:w="1832" w:type="dxa"/>
          </w:tcPr>
          <w:p w14:paraId="62B7FC9A" w14:textId="5B4AAC26" w:rsidR="00E03B1C" w:rsidRPr="006530A0" w:rsidRDefault="005C45AB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Barnes Maurice</w:t>
            </w:r>
          </w:p>
        </w:tc>
        <w:tc>
          <w:tcPr>
            <w:tcW w:w="1612" w:type="dxa"/>
          </w:tcPr>
          <w:p w14:paraId="47629835" w14:textId="7D1DF69A" w:rsidR="00E03B1C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2C75F130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43B2804D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0D6DA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6F2A9B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26C19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BB9FB95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3B561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F570AD" w14:textId="08A80BDE" w:rsidR="00E03B1C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3AF065C1" w14:textId="5C1ED173" w:rsidR="00E03B1C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055C3418" w14:textId="77777777" w:rsidTr="00FB2A00">
        <w:tc>
          <w:tcPr>
            <w:tcW w:w="1832" w:type="dxa"/>
          </w:tcPr>
          <w:p w14:paraId="476831C5" w14:textId="19E98AF1" w:rsidR="00E03B1C" w:rsidRPr="006530A0" w:rsidRDefault="005C45AB" w:rsidP="00FB2A00">
            <w:pPr>
              <w:rPr>
                <w:sz w:val="20"/>
                <w:szCs w:val="20"/>
              </w:rPr>
            </w:pPr>
            <w:r w:rsidRPr="00417B64">
              <w:rPr>
                <w:iCs/>
                <w:sz w:val="20"/>
                <w:szCs w:val="20"/>
              </w:rPr>
              <w:t>Bowyer Philip</w:t>
            </w:r>
          </w:p>
        </w:tc>
        <w:tc>
          <w:tcPr>
            <w:tcW w:w="1612" w:type="dxa"/>
          </w:tcPr>
          <w:p w14:paraId="034A3F37" w14:textId="440AB268" w:rsidR="00E03B1C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5267E2FE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67C0516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DC1388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609AC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DC6FB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974734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167B6" w14:textId="77777777" w:rsidR="00E03B1C" w:rsidRPr="006530A0" w:rsidRDefault="00E03B1C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935C52" w14:textId="7B6610E2" w:rsidR="00E03B1C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6049AC19" w14:textId="26D4FD93" w:rsidR="00E03B1C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222F7" w14:paraId="754F9B8B" w14:textId="77777777" w:rsidTr="00FB2A00">
        <w:tc>
          <w:tcPr>
            <w:tcW w:w="1832" w:type="dxa"/>
          </w:tcPr>
          <w:p w14:paraId="539CD40B" w14:textId="77777777" w:rsidR="00E222F7" w:rsidRDefault="00E222F7" w:rsidP="00FB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Brocklesby</w:t>
            </w:r>
          </w:p>
          <w:p w14:paraId="4CE071ED" w14:textId="421AF253" w:rsidR="00E222F7" w:rsidRDefault="00E222F7" w:rsidP="00FB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Ann</w:t>
            </w:r>
          </w:p>
        </w:tc>
        <w:tc>
          <w:tcPr>
            <w:tcW w:w="1612" w:type="dxa"/>
          </w:tcPr>
          <w:p w14:paraId="597F7BCB" w14:textId="3010C38B" w:rsidR="00E222F7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0ABD0DC4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11C5C4B7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184FE8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E76A9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B0325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C145C6F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AFECA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7D7DF2" w14:textId="1CAEDE29" w:rsidR="00E222F7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4955A2B3" w14:textId="451BB972" w:rsidR="00E222F7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222F7" w14:paraId="622DF567" w14:textId="77777777" w:rsidTr="00FB2A00">
        <w:tc>
          <w:tcPr>
            <w:tcW w:w="1832" w:type="dxa"/>
          </w:tcPr>
          <w:p w14:paraId="269A1E2F" w14:textId="2BDBFEBB" w:rsidR="00E222F7" w:rsidRPr="00417B64" w:rsidRDefault="00E222F7" w:rsidP="00FB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Burch Sara</w:t>
            </w:r>
          </w:p>
        </w:tc>
        <w:tc>
          <w:tcPr>
            <w:tcW w:w="1612" w:type="dxa"/>
          </w:tcPr>
          <w:p w14:paraId="0184ABD2" w14:textId="3A15045B" w:rsidR="00E222F7" w:rsidRPr="006530A0" w:rsidRDefault="00B22E91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1583" w:type="dxa"/>
          </w:tcPr>
          <w:p w14:paraId="59C05A59" w14:textId="41E98D9F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4356F7FA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74097C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CC7D1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A7AD0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C3647E5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0D6DD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EF9861" w14:textId="21A91C4E" w:rsidR="00E222F7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E55D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3AB58EA4" w14:textId="66E5217C" w:rsidR="00E222F7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143.00</w:t>
            </w:r>
          </w:p>
        </w:tc>
      </w:tr>
      <w:tr w:rsidR="00827981" w14:paraId="44760B35" w14:textId="77777777" w:rsidTr="00FB2A00">
        <w:tc>
          <w:tcPr>
            <w:tcW w:w="1832" w:type="dxa"/>
          </w:tcPr>
          <w:p w14:paraId="3D473D9B" w14:textId="6B042F72" w:rsidR="00827981" w:rsidRPr="006530A0" w:rsidRDefault="00827981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Callard Ben</w:t>
            </w:r>
          </w:p>
        </w:tc>
        <w:tc>
          <w:tcPr>
            <w:tcW w:w="1612" w:type="dxa"/>
          </w:tcPr>
          <w:p w14:paraId="711348AF" w14:textId="13DEB4BA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  <w:tc>
          <w:tcPr>
            <w:tcW w:w="1583" w:type="dxa"/>
          </w:tcPr>
          <w:p w14:paraId="0BD85890" w14:textId="2B5303A1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5CA50E0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D5C92" w14:textId="1B2FB1E0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275" w:type="dxa"/>
          </w:tcPr>
          <w:p w14:paraId="7325138B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BB8C6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9C78BE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679FE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D0F1C1" w14:textId="107BF150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 w:rsidRPr="00353E7B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4AD76622" w14:textId="6DC17964" w:rsidR="00771F0D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617.00</w:t>
            </w:r>
          </w:p>
        </w:tc>
      </w:tr>
      <w:tr w:rsidR="00827981" w14:paraId="1E62B2DB" w14:textId="77777777" w:rsidTr="00FB2A00">
        <w:tc>
          <w:tcPr>
            <w:tcW w:w="1832" w:type="dxa"/>
          </w:tcPr>
          <w:p w14:paraId="7F98B675" w14:textId="23252396" w:rsidR="00827981" w:rsidRPr="006530A0" w:rsidRDefault="00827981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Eldridge Kyle</w:t>
            </w:r>
          </w:p>
        </w:tc>
        <w:tc>
          <w:tcPr>
            <w:tcW w:w="1612" w:type="dxa"/>
          </w:tcPr>
          <w:p w14:paraId="209CAE47" w14:textId="5C59B5A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A591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83" w:type="dxa"/>
          </w:tcPr>
          <w:p w14:paraId="35D6925D" w14:textId="2ABF087D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3B9D8F3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C4899E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E033BD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D9C1E" w14:textId="1900BF70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9CB2F86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6DB8C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EAEEA3" w14:textId="7DE5500B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 w:rsidRPr="00353E7B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19D1BD95" w14:textId="0FB5ED7E" w:rsidR="00827981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</w:tr>
      <w:tr w:rsidR="00827981" w14:paraId="7B8D3245" w14:textId="77777777" w:rsidTr="00FB2A00">
        <w:tc>
          <w:tcPr>
            <w:tcW w:w="1832" w:type="dxa"/>
          </w:tcPr>
          <w:p w14:paraId="4B74381A" w14:textId="7E529000" w:rsidR="00827981" w:rsidRPr="006530A0" w:rsidRDefault="00827981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George James</w:t>
            </w:r>
          </w:p>
        </w:tc>
        <w:tc>
          <w:tcPr>
            <w:tcW w:w="1612" w:type="dxa"/>
          </w:tcPr>
          <w:p w14:paraId="44990E4B" w14:textId="6DAC3282" w:rsidR="00827981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3EC62CB6" w14:textId="7DB56472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53AE174F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11FB1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E9BC05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EC2D1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4E48BD7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B3930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D58E9F" w14:textId="613CA8DC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  <w:r w:rsidRPr="00353E7B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41CD4998" w14:textId="50A417D3" w:rsidR="00827981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</w:tr>
      <w:tr w:rsidR="00827981" w14:paraId="21B606D6" w14:textId="77777777" w:rsidTr="00FB2A00">
        <w:tc>
          <w:tcPr>
            <w:tcW w:w="1832" w:type="dxa"/>
          </w:tcPr>
          <w:p w14:paraId="72CE6A0A" w14:textId="17AE6888" w:rsidR="00827981" w:rsidRPr="006530A0" w:rsidRDefault="00827981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Holland Chris</w:t>
            </w:r>
          </w:p>
        </w:tc>
        <w:tc>
          <w:tcPr>
            <w:tcW w:w="1612" w:type="dxa"/>
          </w:tcPr>
          <w:p w14:paraId="73C6EDE7" w14:textId="42C3F3F1" w:rsidR="00827981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31A1A2E4" w14:textId="32DB5CBB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20F2D4EE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DF689C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CDA59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17295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365877D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997DF" w14:textId="77777777" w:rsidR="00827981" w:rsidRPr="006530A0" w:rsidRDefault="00827981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B7338" w14:textId="2149E7EC" w:rsidR="00827981" w:rsidRPr="006530A0" w:rsidRDefault="00A140EB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074FF6A7" w14:textId="46CE6DAE" w:rsidR="00827981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</w:tr>
      <w:tr w:rsidR="00E222F7" w14:paraId="2BC2498A" w14:textId="77777777" w:rsidTr="00FB2A00">
        <w:tc>
          <w:tcPr>
            <w:tcW w:w="1832" w:type="dxa"/>
          </w:tcPr>
          <w:p w14:paraId="2B3A145C" w14:textId="1F40E34F" w:rsidR="00E222F7" w:rsidRPr="00417B64" w:rsidRDefault="00E222F7" w:rsidP="00FB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Groucutt Martyn</w:t>
            </w:r>
          </w:p>
        </w:tc>
        <w:tc>
          <w:tcPr>
            <w:tcW w:w="1612" w:type="dxa"/>
          </w:tcPr>
          <w:p w14:paraId="6E2BD400" w14:textId="07D5E654" w:rsidR="00E222F7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22710840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655649A7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473AB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E64574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36748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A9DFD77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17C92" w14:textId="77777777" w:rsidR="00E222F7" w:rsidRPr="006530A0" w:rsidRDefault="00E222F7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E4CBAC" w14:textId="3BF1D34C" w:rsidR="00E222F7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23666F23" w14:textId="0D3ED612" w:rsidR="00E222F7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C45AB" w14:paraId="07F04C56" w14:textId="77777777" w:rsidTr="00FB2A00">
        <w:tc>
          <w:tcPr>
            <w:tcW w:w="1832" w:type="dxa"/>
          </w:tcPr>
          <w:p w14:paraId="5F3112FC" w14:textId="7F0B7B9B" w:rsidR="005C45AB" w:rsidRPr="006530A0" w:rsidRDefault="005C45AB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Jones Gethin</w:t>
            </w:r>
          </w:p>
        </w:tc>
        <w:tc>
          <w:tcPr>
            <w:tcW w:w="1612" w:type="dxa"/>
          </w:tcPr>
          <w:p w14:paraId="78B2462E" w14:textId="59CECCED" w:rsidR="005C45AB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6A3B3D7B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DB291BD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DFBBE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FF7A12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ADA69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099A7C4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32A8C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C5D7D5" w14:textId="5187F801" w:rsidR="005C45AB" w:rsidRPr="006530A0" w:rsidRDefault="00170EDF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6DF5C0BF" w14:textId="3E127AAA" w:rsidR="005C45AB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C45AB" w14:paraId="388EE763" w14:textId="77777777" w:rsidTr="00FB2A00">
        <w:tc>
          <w:tcPr>
            <w:tcW w:w="1832" w:type="dxa"/>
          </w:tcPr>
          <w:p w14:paraId="28AD36EA" w14:textId="2047B1AB" w:rsidR="005C45AB" w:rsidRPr="0001385A" w:rsidRDefault="005C45AB" w:rsidP="00FB2A00">
            <w:pPr>
              <w:rPr>
                <w:color w:val="FF0000"/>
                <w:sz w:val="20"/>
                <w:szCs w:val="20"/>
              </w:rPr>
            </w:pPr>
            <w:r w:rsidRPr="00BC7592">
              <w:rPr>
                <w:sz w:val="20"/>
                <w:szCs w:val="20"/>
              </w:rPr>
              <w:t>Konieczny Tony</w:t>
            </w:r>
          </w:p>
        </w:tc>
        <w:tc>
          <w:tcPr>
            <w:tcW w:w="1612" w:type="dxa"/>
          </w:tcPr>
          <w:p w14:paraId="18208747" w14:textId="191F655A" w:rsidR="005C45AB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32F26139" w14:textId="1A563672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1788848D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51DB94" w14:textId="647FDCF9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61AC1C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48504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23FB1EF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30BA1" w14:textId="77777777" w:rsidR="005C45AB" w:rsidRPr="006530A0" w:rsidRDefault="005C45AB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9A029A" w14:textId="32A517FB" w:rsidR="005C45AB" w:rsidRPr="006530A0" w:rsidRDefault="00EE55DC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6F62B38C" w14:textId="60BE916E" w:rsidR="005C45AB" w:rsidRPr="006530A0" w:rsidRDefault="00035DF2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A5919" w14:paraId="73C7D6A0" w14:textId="77777777" w:rsidTr="00FB2A00">
        <w:tc>
          <w:tcPr>
            <w:tcW w:w="1832" w:type="dxa"/>
          </w:tcPr>
          <w:p w14:paraId="5D4F9F99" w14:textId="142F85F9" w:rsidR="001A5919" w:rsidRPr="006530A0" w:rsidRDefault="001A5919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Nicholson Bryony</w:t>
            </w:r>
          </w:p>
        </w:tc>
        <w:tc>
          <w:tcPr>
            <w:tcW w:w="1612" w:type="dxa"/>
          </w:tcPr>
          <w:p w14:paraId="52AA9A3B" w14:textId="5A4390EC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75EBA79E" w14:textId="24813A64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6C8A3E99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906A7F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5247CD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9701E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96F174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D1F7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DCB33F" w14:textId="49F4DE3D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1ED5310F" w14:textId="64FEE8A0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</w:tr>
      <w:tr w:rsidR="001A5919" w14:paraId="124AA907" w14:textId="77777777" w:rsidTr="00FB2A00">
        <w:tc>
          <w:tcPr>
            <w:tcW w:w="1832" w:type="dxa"/>
          </w:tcPr>
          <w:p w14:paraId="5481B195" w14:textId="5B26EEE3" w:rsidR="001A5919" w:rsidRPr="006530A0" w:rsidRDefault="001A5919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Powell Maureen</w:t>
            </w:r>
          </w:p>
        </w:tc>
        <w:tc>
          <w:tcPr>
            <w:tcW w:w="1612" w:type="dxa"/>
          </w:tcPr>
          <w:p w14:paraId="0E868BE8" w14:textId="54FBDAC3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5AB1F089" w14:textId="0CA9DA9C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765ACE1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6304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969CB7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6BD33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2950127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DB482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5A14C8" w14:textId="51FEA739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5FDBE770" w14:textId="1DCE247E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</w:tr>
      <w:tr w:rsidR="001A5919" w14:paraId="576B304C" w14:textId="77777777" w:rsidTr="00FB2A00">
        <w:tc>
          <w:tcPr>
            <w:tcW w:w="1832" w:type="dxa"/>
          </w:tcPr>
          <w:p w14:paraId="55433640" w14:textId="7AF8D843" w:rsidR="001A5919" w:rsidRPr="006530A0" w:rsidRDefault="001A5919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Simcock David</w:t>
            </w:r>
          </w:p>
        </w:tc>
        <w:tc>
          <w:tcPr>
            <w:tcW w:w="1612" w:type="dxa"/>
          </w:tcPr>
          <w:p w14:paraId="0E8524BF" w14:textId="094707D1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24DF71A7" w14:textId="6B3442B3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2B17EB5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AC09A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B031E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35942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0741E21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63590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B4BA13" w14:textId="31620E80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5D531576" w14:textId="23170831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</w:t>
            </w:r>
          </w:p>
        </w:tc>
      </w:tr>
      <w:tr w:rsidR="001A5919" w14:paraId="04E3D365" w14:textId="77777777" w:rsidTr="00FB2A00">
        <w:tc>
          <w:tcPr>
            <w:tcW w:w="1832" w:type="dxa"/>
          </w:tcPr>
          <w:p w14:paraId="4628CB0C" w14:textId="2F518CD1" w:rsidR="001A5919" w:rsidRPr="006530A0" w:rsidRDefault="001A5919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Wilde Anne</w:t>
            </w:r>
          </w:p>
        </w:tc>
        <w:tc>
          <w:tcPr>
            <w:tcW w:w="1612" w:type="dxa"/>
          </w:tcPr>
          <w:p w14:paraId="2602535E" w14:textId="73ADDDC3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424505FB" w14:textId="4EEFB76D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6D0336F0" w14:textId="0AEDB392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1500.00</w:t>
            </w:r>
          </w:p>
        </w:tc>
        <w:tc>
          <w:tcPr>
            <w:tcW w:w="1985" w:type="dxa"/>
          </w:tcPr>
          <w:p w14:paraId="2F5F7D57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838A9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2A53A" w14:textId="3784BE76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B098965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08CAC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E8D40A" w14:textId="19D30158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7A1B5048" w14:textId="3258015F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1795.98</w:t>
            </w:r>
          </w:p>
        </w:tc>
      </w:tr>
      <w:tr w:rsidR="001A5919" w14:paraId="60BBA46F" w14:textId="77777777" w:rsidTr="00FB2A00">
        <w:tc>
          <w:tcPr>
            <w:tcW w:w="1832" w:type="dxa"/>
          </w:tcPr>
          <w:p w14:paraId="33317946" w14:textId="5571DAD0" w:rsidR="001A5919" w:rsidRPr="006530A0" w:rsidRDefault="001A5919" w:rsidP="00FB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 Gareth</w:t>
            </w:r>
          </w:p>
        </w:tc>
        <w:tc>
          <w:tcPr>
            <w:tcW w:w="1612" w:type="dxa"/>
          </w:tcPr>
          <w:p w14:paraId="0C063305" w14:textId="4DBDD1D1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64E01052" w14:textId="5D5CA7BD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2DEFAE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C0C9E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CD2AE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406B" w14:textId="5426B0AE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11.55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F630F3B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448B6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4C1369" w14:textId="4EE75353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0F91A034" w14:textId="44CDAF73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219.55</w:t>
            </w:r>
          </w:p>
        </w:tc>
      </w:tr>
      <w:tr w:rsidR="001A5919" w14:paraId="69510E8A" w14:textId="77777777" w:rsidTr="00FB2A00">
        <w:tc>
          <w:tcPr>
            <w:tcW w:w="1832" w:type="dxa"/>
          </w:tcPr>
          <w:p w14:paraId="19A02359" w14:textId="20B294C8" w:rsidR="001A5919" w:rsidRPr="006530A0" w:rsidRDefault="001A5919" w:rsidP="00FB2A00">
            <w:pPr>
              <w:rPr>
                <w:sz w:val="20"/>
                <w:szCs w:val="20"/>
              </w:rPr>
            </w:pPr>
            <w:r w:rsidRPr="00417B64">
              <w:rPr>
                <w:sz w:val="20"/>
                <w:szCs w:val="20"/>
              </w:rPr>
              <w:t>Wright Laura</w:t>
            </w:r>
          </w:p>
        </w:tc>
        <w:tc>
          <w:tcPr>
            <w:tcW w:w="1612" w:type="dxa"/>
          </w:tcPr>
          <w:p w14:paraId="2F78CBD3" w14:textId="23D9F54B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EF7FE6">
              <w:rPr>
                <w:sz w:val="20"/>
                <w:szCs w:val="20"/>
              </w:rPr>
              <w:t>156.00</w:t>
            </w:r>
          </w:p>
        </w:tc>
        <w:tc>
          <w:tcPr>
            <w:tcW w:w="1583" w:type="dxa"/>
          </w:tcPr>
          <w:p w14:paraId="483023DC" w14:textId="469BE104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9DC9053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99C574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38AC03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2BC3C3" w14:textId="54C5C254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17.50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601CD0F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C6B6A" w14:textId="77777777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247B49" w14:textId="1B748680" w:rsidR="001A5919" w:rsidRPr="006530A0" w:rsidRDefault="001A5919" w:rsidP="00FB2A00">
            <w:pPr>
              <w:jc w:val="center"/>
              <w:rPr>
                <w:sz w:val="20"/>
                <w:szCs w:val="20"/>
              </w:rPr>
            </w:pPr>
            <w:r w:rsidRPr="003B7818">
              <w:rPr>
                <w:sz w:val="20"/>
                <w:szCs w:val="20"/>
              </w:rPr>
              <w:t>52.00</w:t>
            </w:r>
          </w:p>
        </w:tc>
        <w:tc>
          <w:tcPr>
            <w:tcW w:w="1134" w:type="dxa"/>
          </w:tcPr>
          <w:p w14:paraId="489A7A42" w14:textId="5F05C545" w:rsidR="001A5919" w:rsidRPr="006530A0" w:rsidRDefault="00771F0D" w:rsidP="00FB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225.50</w:t>
            </w:r>
          </w:p>
        </w:tc>
      </w:tr>
      <w:tr w:rsidR="00271281" w14:paraId="636D4817" w14:textId="77777777" w:rsidTr="00FB2A00">
        <w:tc>
          <w:tcPr>
            <w:tcW w:w="1832" w:type="dxa"/>
          </w:tcPr>
          <w:p w14:paraId="3D114A07" w14:textId="77777777" w:rsidR="00271281" w:rsidRDefault="00271281" w:rsidP="00FB2A00">
            <w:pPr>
              <w:rPr>
                <w:b/>
                <w:u w:val="single"/>
              </w:rPr>
            </w:pPr>
          </w:p>
        </w:tc>
        <w:tc>
          <w:tcPr>
            <w:tcW w:w="1612" w:type="dxa"/>
          </w:tcPr>
          <w:p w14:paraId="5B51CA2E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C6262B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24" w:type="dxa"/>
          </w:tcPr>
          <w:p w14:paraId="2BB32932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13403A75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0F656F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3B31F60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9C78DBA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DF47511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0794E8F9" w14:textId="14474A2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6BA481C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</w:tr>
      <w:tr w:rsidR="00271281" w14:paraId="506669A1" w14:textId="77777777" w:rsidTr="00FB2A00">
        <w:tc>
          <w:tcPr>
            <w:tcW w:w="1832" w:type="dxa"/>
          </w:tcPr>
          <w:p w14:paraId="7273862D" w14:textId="77777777" w:rsidR="00271281" w:rsidRPr="00DD44DC" w:rsidRDefault="00271281" w:rsidP="00FB2A00">
            <w:pPr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12" w:type="dxa"/>
          </w:tcPr>
          <w:p w14:paraId="54EF54CC" w14:textId="00D15B7A" w:rsidR="00271281" w:rsidRDefault="00874E57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1560.00</w:t>
            </w:r>
          </w:p>
        </w:tc>
        <w:tc>
          <w:tcPr>
            <w:tcW w:w="1583" w:type="dxa"/>
          </w:tcPr>
          <w:p w14:paraId="7C94F80A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24" w:type="dxa"/>
          </w:tcPr>
          <w:p w14:paraId="79FC80FB" w14:textId="44D86E9D" w:rsidR="00271281" w:rsidRDefault="00874E57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1500.00</w:t>
            </w:r>
          </w:p>
        </w:tc>
        <w:tc>
          <w:tcPr>
            <w:tcW w:w="1985" w:type="dxa"/>
          </w:tcPr>
          <w:p w14:paraId="66ED0602" w14:textId="6436904C" w:rsidR="00271281" w:rsidRDefault="00874E57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500.00</w:t>
            </w:r>
          </w:p>
        </w:tc>
        <w:tc>
          <w:tcPr>
            <w:tcW w:w="1275" w:type="dxa"/>
          </w:tcPr>
          <w:p w14:paraId="2E0C5910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AC18897" w14:textId="744C627D" w:rsidR="00271281" w:rsidRDefault="00874E57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129.03</w:t>
            </w:r>
          </w:p>
        </w:tc>
        <w:tc>
          <w:tcPr>
            <w:tcW w:w="1843" w:type="dxa"/>
          </w:tcPr>
          <w:p w14:paraId="5DA1D129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1134" w:type="dxa"/>
          </w:tcPr>
          <w:p w14:paraId="6C076799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3E1F69A" w14:textId="48980979" w:rsidR="00271281" w:rsidRDefault="00874E57" w:rsidP="00FB2A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771F0D">
              <w:rPr>
                <w:b/>
                <w:u w:val="single"/>
              </w:rPr>
              <w:t>72</w:t>
            </w:r>
            <w:r>
              <w:rPr>
                <w:b/>
                <w:u w:val="single"/>
              </w:rPr>
              <w:t>.00</w:t>
            </w:r>
          </w:p>
        </w:tc>
        <w:tc>
          <w:tcPr>
            <w:tcW w:w="1134" w:type="dxa"/>
          </w:tcPr>
          <w:p w14:paraId="2EBE2A38" w14:textId="77777777" w:rsidR="00271281" w:rsidRDefault="00271281" w:rsidP="00FB2A00">
            <w:pPr>
              <w:jc w:val="center"/>
              <w:rPr>
                <w:b/>
                <w:u w:val="single"/>
              </w:rPr>
            </w:pPr>
          </w:p>
        </w:tc>
      </w:tr>
    </w:tbl>
    <w:p w14:paraId="03EF23AD" w14:textId="77777777" w:rsidR="00271281" w:rsidRDefault="00271281"/>
    <w:sectPr w:rsidR="00271281" w:rsidSect="00BB19C6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09225" w14:textId="77777777" w:rsidR="00BB19C6" w:rsidRDefault="00BB19C6" w:rsidP="007E64DC">
      <w:r>
        <w:separator/>
      </w:r>
    </w:p>
  </w:endnote>
  <w:endnote w:type="continuationSeparator" w:id="0">
    <w:p w14:paraId="3AAED7F4" w14:textId="77777777" w:rsidR="00BB19C6" w:rsidRDefault="00BB19C6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492D3" w14:textId="77777777" w:rsidR="00271281" w:rsidRDefault="007C698C">
    <w:pPr>
      <w:pStyle w:val="Footer"/>
    </w:pPr>
    <w:proofErr w:type="gramStart"/>
    <w:r>
      <w:t>Section 151 of the Local Government Measure 2011,</w:t>
    </w:r>
    <w:proofErr w:type="gramEnd"/>
    <w:r>
      <w:t xml:space="preserve">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E3AB3" w14:textId="77777777" w:rsidR="00BB19C6" w:rsidRDefault="00BB19C6" w:rsidP="007E64DC">
      <w:r>
        <w:separator/>
      </w:r>
    </w:p>
  </w:footnote>
  <w:footnote w:type="continuationSeparator" w:id="0">
    <w:p w14:paraId="142579DF" w14:textId="77777777" w:rsidR="00BB19C6" w:rsidRDefault="00BB19C6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E6D22" w14:textId="07E250BA" w:rsidR="00271281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FB30F1">
      <w:rPr>
        <w:b/>
        <w:i/>
        <w:u w:val="single"/>
      </w:rPr>
      <w:t>Abergavenny Town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FB30F1">
      <w:rPr>
        <w:b/>
        <w:u w:val="single"/>
      </w:rPr>
      <w:t>3</w:t>
    </w:r>
    <w:r w:rsidR="007E64DC">
      <w:rPr>
        <w:b/>
        <w:u w:val="single"/>
      </w:rPr>
      <w:t xml:space="preserve"> to March 202</w:t>
    </w:r>
    <w:r w:rsidR="00FB30F1">
      <w:rPr>
        <w:b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1385A"/>
    <w:rsid w:val="00035DF2"/>
    <w:rsid w:val="0004051E"/>
    <w:rsid w:val="001370F0"/>
    <w:rsid w:val="00170EDF"/>
    <w:rsid w:val="001A5919"/>
    <w:rsid w:val="001A6902"/>
    <w:rsid w:val="00271281"/>
    <w:rsid w:val="002B667E"/>
    <w:rsid w:val="002D0DB2"/>
    <w:rsid w:val="002D47D5"/>
    <w:rsid w:val="00301647"/>
    <w:rsid w:val="0046333C"/>
    <w:rsid w:val="004761EC"/>
    <w:rsid w:val="004B09DD"/>
    <w:rsid w:val="00505B03"/>
    <w:rsid w:val="005B389E"/>
    <w:rsid w:val="005C45AB"/>
    <w:rsid w:val="005F07C1"/>
    <w:rsid w:val="00770324"/>
    <w:rsid w:val="00771F0D"/>
    <w:rsid w:val="007C698C"/>
    <w:rsid w:val="007E64DC"/>
    <w:rsid w:val="007E7808"/>
    <w:rsid w:val="00827981"/>
    <w:rsid w:val="00874E57"/>
    <w:rsid w:val="00956AE6"/>
    <w:rsid w:val="0098130B"/>
    <w:rsid w:val="00A140EB"/>
    <w:rsid w:val="00A31980"/>
    <w:rsid w:val="00A55188"/>
    <w:rsid w:val="00A959BE"/>
    <w:rsid w:val="00AD5FA2"/>
    <w:rsid w:val="00B22E91"/>
    <w:rsid w:val="00BB19C6"/>
    <w:rsid w:val="00BC7592"/>
    <w:rsid w:val="00D206D7"/>
    <w:rsid w:val="00DD2D22"/>
    <w:rsid w:val="00DD44DC"/>
    <w:rsid w:val="00E03B1C"/>
    <w:rsid w:val="00E04FFF"/>
    <w:rsid w:val="00E222F7"/>
    <w:rsid w:val="00E802B2"/>
    <w:rsid w:val="00EE55DC"/>
    <w:rsid w:val="00F3066E"/>
    <w:rsid w:val="00FB2A00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4DD3A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03B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A44387061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2023-03-08T07:54:07Z</value>
    </field>
    <field name="Objective-ModificationStamp">
      <value order="0">2023-03-08T07:54:07Z</value>
    </field>
    <field name="Objective-Owner">
      <value order="0">Jones, Leighton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vA84477775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Jax Postoyalko</cp:lastModifiedBy>
  <cp:revision>22</cp:revision>
  <dcterms:created xsi:type="dcterms:W3CDTF">2023-10-10T08:43:00Z</dcterms:created>
  <dcterms:modified xsi:type="dcterms:W3CDTF">2024-05-08T12:03:00Z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A44387061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2023-03-08T07:51:18Z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2023-03-08T07:54:07Z</vt:filetime>
  </property>
  <property fmtid="{D5CDD505-2E9C-101B-9397-08002B2CF9AE}" pid="10" name="Objective-ModificationStamp">
    <vt:filetime>2023-03-08T07:54:07Z</vt:filetime>
  </property>
  <property fmtid="{D5CDD505-2E9C-101B-9397-08002B2CF9AE}" pid="11" name="Objective-Owner">
    <vt:lpwstr>Jones, Leighton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vA84477775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