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7485" w14:textId="77777777" w:rsidR="00475DE3" w:rsidRPr="00FA5711" w:rsidRDefault="00475DE3" w:rsidP="00691F0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5711">
        <w:rPr>
          <w:rFonts w:ascii="Arial" w:hAnsi="Arial" w:cs="Arial"/>
          <w:b/>
          <w:bCs/>
          <w:sz w:val="32"/>
          <w:szCs w:val="32"/>
        </w:rPr>
        <w:t>Abergavenny Town Council and Blaenavon Town Council</w:t>
      </w:r>
    </w:p>
    <w:p w14:paraId="12ED6BE7" w14:textId="77777777" w:rsidR="00202FDC" w:rsidRPr="00FA5711" w:rsidRDefault="00202FDC" w:rsidP="00691F0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5711">
        <w:rPr>
          <w:rFonts w:ascii="Arial" w:hAnsi="Arial" w:cs="Arial"/>
          <w:b/>
          <w:bCs/>
          <w:sz w:val="32"/>
          <w:szCs w:val="32"/>
        </w:rPr>
        <w:t>Clustering Charter for Tourism and Cultural Collaboration</w:t>
      </w:r>
    </w:p>
    <w:p w14:paraId="50FF714D" w14:textId="77777777" w:rsidR="00202FDC" w:rsidRPr="00FA5711" w:rsidRDefault="00202FDC" w:rsidP="00691F03">
      <w:pPr>
        <w:spacing w:after="0"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7A2D8AB2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1. Purpose</w:t>
      </w:r>
    </w:p>
    <w:p w14:paraId="0971FDD9" w14:textId="2A5B6AE8" w:rsidR="003B5712" w:rsidRPr="00FA5711" w:rsidRDefault="003B5712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This Charter sets out a shared commitment by Abergavenny Town Council and Blaenavon Town Council (“the Councils”) to work together in promoting tourism, arts and culture, and heritage </w:t>
      </w:r>
      <w:r w:rsidR="0073609C" w:rsidRPr="00FA5711">
        <w:rPr>
          <w:rFonts w:ascii="Arial" w:hAnsi="Arial" w:cs="Arial"/>
          <w:sz w:val="24"/>
          <w:szCs w:val="24"/>
        </w:rPr>
        <w:t xml:space="preserve">for the </w:t>
      </w:r>
      <w:r w:rsidR="00F11062" w:rsidRPr="00FA5711">
        <w:rPr>
          <w:rFonts w:ascii="Arial" w:hAnsi="Arial" w:cs="Arial"/>
          <w:sz w:val="24"/>
          <w:szCs w:val="24"/>
        </w:rPr>
        <w:t xml:space="preserve">mutual </w:t>
      </w:r>
      <w:r w:rsidR="0073609C" w:rsidRPr="00FA5711">
        <w:rPr>
          <w:rFonts w:ascii="Arial" w:hAnsi="Arial" w:cs="Arial"/>
          <w:sz w:val="24"/>
          <w:szCs w:val="24"/>
        </w:rPr>
        <w:t xml:space="preserve">benefit of </w:t>
      </w:r>
      <w:r w:rsidR="00F11062" w:rsidRPr="00FA5711">
        <w:rPr>
          <w:rFonts w:ascii="Arial" w:hAnsi="Arial" w:cs="Arial"/>
          <w:sz w:val="24"/>
          <w:szCs w:val="24"/>
        </w:rPr>
        <w:t>our</w:t>
      </w:r>
      <w:r w:rsidRPr="00FA5711">
        <w:rPr>
          <w:rFonts w:ascii="Arial" w:hAnsi="Arial" w:cs="Arial"/>
          <w:sz w:val="24"/>
          <w:szCs w:val="24"/>
        </w:rPr>
        <w:t xml:space="preserve"> </w:t>
      </w:r>
      <w:r w:rsidR="0028503B">
        <w:rPr>
          <w:rFonts w:ascii="Arial" w:hAnsi="Arial" w:cs="Arial"/>
          <w:sz w:val="24"/>
          <w:szCs w:val="24"/>
        </w:rPr>
        <w:t xml:space="preserve">respective </w:t>
      </w:r>
      <w:r w:rsidRPr="00FA5711">
        <w:rPr>
          <w:rFonts w:ascii="Arial" w:hAnsi="Arial" w:cs="Arial"/>
          <w:sz w:val="24"/>
          <w:szCs w:val="24"/>
        </w:rPr>
        <w:t>towns.</w:t>
      </w:r>
    </w:p>
    <w:p w14:paraId="7D13A4EF" w14:textId="70F37ACE" w:rsidR="000F565A" w:rsidRPr="00FA5711" w:rsidRDefault="000F565A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The Councils recognise the longstanding connections between </w:t>
      </w:r>
      <w:r w:rsidR="005B3850">
        <w:rPr>
          <w:rFonts w:ascii="Arial" w:hAnsi="Arial" w:cs="Arial"/>
          <w:sz w:val="24"/>
          <w:szCs w:val="24"/>
        </w:rPr>
        <w:t>Abergavenny and Blaenavon</w:t>
      </w:r>
      <w:r w:rsidRPr="00FA5711">
        <w:rPr>
          <w:rFonts w:ascii="Arial" w:hAnsi="Arial" w:cs="Arial"/>
          <w:sz w:val="24"/>
          <w:szCs w:val="24"/>
        </w:rPr>
        <w:t>, shaped by shared landscapes, trade and commerce, public administration, and community ties.</w:t>
      </w:r>
      <w:r w:rsidR="00785020" w:rsidRPr="00FA5711">
        <w:rPr>
          <w:rFonts w:ascii="Arial" w:hAnsi="Arial" w:cs="Arial"/>
          <w:sz w:val="24"/>
          <w:szCs w:val="24"/>
        </w:rPr>
        <w:t xml:space="preserve"> We also acknowledge the differences and value the distinct identities that define each town, both historically and today.</w:t>
      </w:r>
    </w:p>
    <w:p w14:paraId="30F8B52A" w14:textId="637A3BB1" w:rsidR="00947272" w:rsidRPr="00FA5711" w:rsidRDefault="00452069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By working together, we aim to:</w:t>
      </w:r>
    </w:p>
    <w:p w14:paraId="3484B103" w14:textId="14FF3C43" w:rsidR="00B4269F" w:rsidRDefault="00B4269F" w:rsidP="00691F0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cross-county collaboration on tourism, arts</w:t>
      </w:r>
      <w:r w:rsidR="00484E16">
        <w:rPr>
          <w:rFonts w:ascii="Arial" w:hAnsi="Arial" w:cs="Arial"/>
          <w:sz w:val="24"/>
          <w:szCs w:val="24"/>
        </w:rPr>
        <w:t xml:space="preserve">, culture and heritage strategies and </w:t>
      </w:r>
      <w:r w:rsidR="007B5271">
        <w:rPr>
          <w:rFonts w:ascii="Arial" w:hAnsi="Arial" w:cs="Arial"/>
          <w:sz w:val="24"/>
          <w:szCs w:val="24"/>
        </w:rPr>
        <w:t>initiatives.</w:t>
      </w:r>
    </w:p>
    <w:p w14:paraId="5229F245" w14:textId="055F43DF" w:rsidR="00AE14EC" w:rsidRPr="00FA5711" w:rsidRDefault="00AE14EC" w:rsidP="00691F0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Celebrate our shared heritage and values, while also exploring and promoting the differences that give each town its unique </w:t>
      </w:r>
      <w:r w:rsidR="007B5271" w:rsidRPr="00FA5711">
        <w:rPr>
          <w:rFonts w:ascii="Arial" w:hAnsi="Arial" w:cs="Arial"/>
          <w:sz w:val="24"/>
          <w:szCs w:val="24"/>
        </w:rPr>
        <w:t>character.</w:t>
      </w:r>
    </w:p>
    <w:p w14:paraId="46F694CA" w14:textId="01667460" w:rsidR="008829E5" w:rsidRPr="00FA5711" w:rsidRDefault="008829E5" w:rsidP="00691F0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Foster greater awareness and understanding of the cultural and tourism offer</w:t>
      </w:r>
      <w:r w:rsidR="004B29E8" w:rsidRPr="00FA5711">
        <w:rPr>
          <w:rFonts w:ascii="Arial" w:hAnsi="Arial" w:cs="Arial"/>
          <w:sz w:val="24"/>
          <w:szCs w:val="24"/>
        </w:rPr>
        <w:t>,</w:t>
      </w:r>
      <w:r w:rsidRPr="00FA5711">
        <w:rPr>
          <w:rFonts w:ascii="Arial" w:hAnsi="Arial" w:cs="Arial"/>
          <w:sz w:val="24"/>
          <w:szCs w:val="24"/>
        </w:rPr>
        <w:t xml:space="preserve"> not only amongst visitor</w:t>
      </w:r>
      <w:r w:rsidR="004449F2">
        <w:rPr>
          <w:rFonts w:ascii="Arial" w:hAnsi="Arial" w:cs="Arial"/>
          <w:sz w:val="24"/>
          <w:szCs w:val="24"/>
        </w:rPr>
        <w:t>s</w:t>
      </w:r>
      <w:r w:rsidR="004B29E8" w:rsidRPr="00FA5711">
        <w:rPr>
          <w:rFonts w:ascii="Arial" w:hAnsi="Arial" w:cs="Arial"/>
          <w:sz w:val="24"/>
          <w:szCs w:val="24"/>
        </w:rPr>
        <w:t xml:space="preserve"> but</w:t>
      </w:r>
      <w:r w:rsidRPr="00FA5711">
        <w:rPr>
          <w:rFonts w:ascii="Arial" w:hAnsi="Arial" w:cs="Arial"/>
          <w:sz w:val="24"/>
          <w:szCs w:val="24"/>
        </w:rPr>
        <w:t xml:space="preserve"> within and between our </w:t>
      </w:r>
      <w:r w:rsidR="007B5271" w:rsidRPr="00FA5711">
        <w:rPr>
          <w:rFonts w:ascii="Arial" w:hAnsi="Arial" w:cs="Arial"/>
          <w:sz w:val="24"/>
          <w:szCs w:val="24"/>
        </w:rPr>
        <w:t>communities.</w:t>
      </w:r>
    </w:p>
    <w:p w14:paraId="6A71B752" w14:textId="24FC40ED" w:rsidR="00452069" w:rsidRPr="00FA5711" w:rsidRDefault="00452069" w:rsidP="00691F0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Strengthen the </w:t>
      </w:r>
      <w:r w:rsidR="004B29E8" w:rsidRPr="00FA5711">
        <w:rPr>
          <w:rFonts w:ascii="Arial" w:hAnsi="Arial" w:cs="Arial"/>
          <w:sz w:val="24"/>
          <w:szCs w:val="24"/>
        </w:rPr>
        <w:t xml:space="preserve">overall </w:t>
      </w:r>
      <w:r w:rsidRPr="00FA5711">
        <w:rPr>
          <w:rFonts w:ascii="Arial" w:hAnsi="Arial" w:cs="Arial"/>
          <w:sz w:val="24"/>
          <w:szCs w:val="24"/>
        </w:rPr>
        <w:t>cultural and tourism offer of the area</w:t>
      </w:r>
      <w:r w:rsidR="007B5271">
        <w:rPr>
          <w:rFonts w:ascii="Arial" w:hAnsi="Arial" w:cs="Arial"/>
          <w:sz w:val="24"/>
          <w:szCs w:val="24"/>
        </w:rPr>
        <w:t>.</w:t>
      </w:r>
    </w:p>
    <w:p w14:paraId="4417DBE5" w14:textId="35BE67AA" w:rsidR="00452069" w:rsidRPr="00FA5711" w:rsidRDefault="00452069" w:rsidP="00691F0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Enhance</w:t>
      </w:r>
      <w:r w:rsidR="004B29E8" w:rsidRPr="00FA5711">
        <w:rPr>
          <w:rFonts w:ascii="Arial" w:hAnsi="Arial" w:cs="Arial"/>
          <w:sz w:val="24"/>
          <w:szCs w:val="24"/>
        </w:rPr>
        <w:t xml:space="preserve"> the quality of the</w:t>
      </w:r>
      <w:r w:rsidRPr="00FA5711">
        <w:rPr>
          <w:rFonts w:ascii="Arial" w:hAnsi="Arial" w:cs="Arial"/>
          <w:sz w:val="24"/>
          <w:szCs w:val="24"/>
        </w:rPr>
        <w:t xml:space="preserve"> visitor experiences</w:t>
      </w:r>
      <w:r w:rsidR="007B5271">
        <w:rPr>
          <w:rFonts w:ascii="Arial" w:hAnsi="Arial" w:cs="Arial"/>
          <w:sz w:val="24"/>
          <w:szCs w:val="24"/>
        </w:rPr>
        <w:t>.</w:t>
      </w:r>
    </w:p>
    <w:p w14:paraId="009A0444" w14:textId="15263A76" w:rsidR="00452069" w:rsidRPr="00FA5711" w:rsidRDefault="00452069" w:rsidP="00691F03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Support sustainable economic growth through </w:t>
      </w:r>
      <w:r w:rsidR="00901472" w:rsidRPr="00FA5711">
        <w:rPr>
          <w:rFonts w:ascii="Arial" w:hAnsi="Arial" w:cs="Arial"/>
          <w:sz w:val="24"/>
          <w:szCs w:val="24"/>
        </w:rPr>
        <w:t>co-ordinated</w:t>
      </w:r>
      <w:r w:rsidRPr="00FA5711">
        <w:rPr>
          <w:rFonts w:ascii="Arial" w:hAnsi="Arial" w:cs="Arial"/>
          <w:sz w:val="24"/>
          <w:szCs w:val="24"/>
        </w:rPr>
        <w:t xml:space="preserve"> marketing, interpretation, events, and destination management.</w:t>
      </w:r>
    </w:p>
    <w:p w14:paraId="249C3462" w14:textId="0D0F4CFF" w:rsidR="00CA068C" w:rsidRPr="00FA5711" w:rsidRDefault="0033702B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Through this partnership, both councils aim to strengthen our cultural and tourism offer, support sustainable growth, and present a more joined-up and compelling story of our region - one that honours our differences while celebrating our shared past, present and future.</w:t>
      </w:r>
    </w:p>
    <w:p w14:paraId="6035BBA3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2. Vision</w:t>
      </w:r>
    </w:p>
    <w:p w14:paraId="084CD2E7" w14:textId="459817A9" w:rsidR="007B5A5E" w:rsidRPr="007B5A5E" w:rsidRDefault="007B1ABD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Through clustering, </w:t>
      </w:r>
      <w:r w:rsidR="005B16D3">
        <w:rPr>
          <w:rFonts w:ascii="Arial" w:hAnsi="Arial" w:cs="Arial"/>
          <w:sz w:val="24"/>
          <w:szCs w:val="24"/>
        </w:rPr>
        <w:t>the Councils</w:t>
      </w:r>
      <w:r w:rsidR="007B5A5E" w:rsidRPr="007B5A5E">
        <w:rPr>
          <w:rFonts w:ascii="Arial" w:hAnsi="Arial" w:cs="Arial"/>
          <w:sz w:val="24"/>
          <w:szCs w:val="24"/>
        </w:rPr>
        <w:t xml:space="preserve"> envision a vibrant and connected tourism </w:t>
      </w:r>
      <w:r w:rsidR="00D027CA" w:rsidRPr="00FA5711">
        <w:rPr>
          <w:rFonts w:ascii="Arial" w:hAnsi="Arial" w:cs="Arial"/>
          <w:sz w:val="24"/>
          <w:szCs w:val="24"/>
        </w:rPr>
        <w:t>and cultural offer</w:t>
      </w:r>
      <w:r w:rsidR="007B5A5E" w:rsidRPr="007B5A5E">
        <w:rPr>
          <w:rFonts w:ascii="Arial" w:hAnsi="Arial" w:cs="Arial"/>
          <w:sz w:val="24"/>
          <w:szCs w:val="24"/>
        </w:rPr>
        <w:t xml:space="preserve"> where Abergavenny</w:t>
      </w:r>
      <w:r w:rsidR="007B5A5E" w:rsidRPr="00FA5711">
        <w:rPr>
          <w:rFonts w:ascii="Arial" w:hAnsi="Arial" w:cs="Arial"/>
          <w:sz w:val="24"/>
          <w:szCs w:val="24"/>
        </w:rPr>
        <w:t xml:space="preserve"> and Blaenavon</w:t>
      </w:r>
      <w:r w:rsidR="007B5A5E" w:rsidRPr="007B5A5E">
        <w:rPr>
          <w:rFonts w:ascii="Arial" w:hAnsi="Arial" w:cs="Arial"/>
          <w:sz w:val="24"/>
          <w:szCs w:val="24"/>
        </w:rPr>
        <w:t xml:space="preserve"> are seen as </w:t>
      </w:r>
      <w:r w:rsidR="007B5A5E" w:rsidRPr="007B5A5E">
        <w:rPr>
          <w:rFonts w:ascii="Arial" w:hAnsi="Arial" w:cs="Arial"/>
          <w:b/>
          <w:bCs/>
          <w:sz w:val="24"/>
          <w:szCs w:val="24"/>
        </w:rPr>
        <w:t>complementary</w:t>
      </w:r>
      <w:r w:rsidR="007B5A5E" w:rsidRPr="007B5A5E">
        <w:rPr>
          <w:rFonts w:ascii="Arial" w:hAnsi="Arial" w:cs="Arial"/>
          <w:sz w:val="24"/>
          <w:szCs w:val="24"/>
        </w:rPr>
        <w:t xml:space="preserve"> destinations:</w:t>
      </w:r>
    </w:p>
    <w:p w14:paraId="6F891198" w14:textId="00275831" w:rsidR="00D86C0C" w:rsidRPr="007B5A5E" w:rsidRDefault="00D86C0C" w:rsidP="00691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5A5E">
        <w:rPr>
          <w:rFonts w:ascii="Arial" w:hAnsi="Arial" w:cs="Arial"/>
          <w:b/>
          <w:bCs/>
          <w:sz w:val="24"/>
          <w:szCs w:val="24"/>
        </w:rPr>
        <w:t>Abergavenny</w:t>
      </w:r>
      <w:r w:rsidRPr="007B5A5E">
        <w:rPr>
          <w:rFonts w:ascii="Arial" w:hAnsi="Arial" w:cs="Arial"/>
          <w:sz w:val="24"/>
          <w:szCs w:val="24"/>
        </w:rPr>
        <w:t>, a historic market town known as the Gateway to the Bannau Brycheiniog (Brecon Beacons), rich in culture, events, and hospitality</w:t>
      </w:r>
      <w:r w:rsidR="0095045B" w:rsidRPr="00FA5711">
        <w:rPr>
          <w:rFonts w:ascii="Arial" w:hAnsi="Arial" w:cs="Arial"/>
          <w:sz w:val="24"/>
          <w:szCs w:val="24"/>
        </w:rPr>
        <w:t xml:space="preserve"> – particularly food tourism</w:t>
      </w:r>
      <w:r w:rsidRPr="007B5A5E">
        <w:rPr>
          <w:rFonts w:ascii="Arial" w:hAnsi="Arial" w:cs="Arial"/>
          <w:sz w:val="24"/>
          <w:szCs w:val="24"/>
        </w:rPr>
        <w:t>.</w:t>
      </w:r>
    </w:p>
    <w:p w14:paraId="0643A8CF" w14:textId="042E754E" w:rsidR="007B5A5E" w:rsidRPr="007B5A5E" w:rsidRDefault="007B5A5E" w:rsidP="00691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5A5E">
        <w:rPr>
          <w:rFonts w:ascii="Arial" w:hAnsi="Arial" w:cs="Arial"/>
          <w:b/>
          <w:bCs/>
          <w:sz w:val="24"/>
          <w:szCs w:val="24"/>
        </w:rPr>
        <w:t>Blaenavon</w:t>
      </w:r>
      <w:r w:rsidRPr="007B5A5E">
        <w:rPr>
          <w:rFonts w:ascii="Arial" w:hAnsi="Arial" w:cs="Arial"/>
          <w:sz w:val="24"/>
          <w:szCs w:val="24"/>
        </w:rPr>
        <w:t xml:space="preserve">, a UNESCO World Heritage Site </w:t>
      </w:r>
      <w:r w:rsidR="008E4524">
        <w:rPr>
          <w:rFonts w:ascii="Arial" w:hAnsi="Arial" w:cs="Arial"/>
          <w:sz w:val="24"/>
          <w:szCs w:val="24"/>
        </w:rPr>
        <w:t xml:space="preserve">with a cultural landscape </w:t>
      </w:r>
      <w:r w:rsidR="005B16D3">
        <w:rPr>
          <w:rFonts w:ascii="Arial" w:hAnsi="Arial" w:cs="Arial"/>
          <w:sz w:val="24"/>
          <w:szCs w:val="24"/>
        </w:rPr>
        <w:t xml:space="preserve">and a range of visitor attractions </w:t>
      </w:r>
      <w:r w:rsidRPr="007B5A5E">
        <w:rPr>
          <w:rFonts w:ascii="Arial" w:hAnsi="Arial" w:cs="Arial"/>
          <w:sz w:val="24"/>
          <w:szCs w:val="24"/>
        </w:rPr>
        <w:t>embodying Wales’ industrial heritage</w:t>
      </w:r>
      <w:r w:rsidR="00A7047F" w:rsidRPr="00FA5711">
        <w:rPr>
          <w:rFonts w:ascii="Arial" w:hAnsi="Arial" w:cs="Arial"/>
          <w:sz w:val="24"/>
          <w:szCs w:val="24"/>
        </w:rPr>
        <w:t>.</w:t>
      </w:r>
    </w:p>
    <w:p w14:paraId="00C58A20" w14:textId="234D26C8" w:rsidR="007B5A5E" w:rsidRPr="00FA5711" w:rsidRDefault="00831390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1390">
        <w:rPr>
          <w:rFonts w:ascii="Arial" w:hAnsi="Arial" w:cs="Arial"/>
          <w:sz w:val="24"/>
          <w:szCs w:val="24"/>
        </w:rPr>
        <w:t>We aim to support the natural movement of visitors between our towns</w:t>
      </w:r>
      <w:r>
        <w:rPr>
          <w:rFonts w:ascii="Arial" w:hAnsi="Arial" w:cs="Arial"/>
          <w:sz w:val="24"/>
          <w:szCs w:val="24"/>
        </w:rPr>
        <w:t xml:space="preserve"> - </w:t>
      </w:r>
      <w:r w:rsidRPr="00322582">
        <w:rPr>
          <w:rFonts w:ascii="Arial" w:hAnsi="Arial" w:cs="Arial"/>
          <w:sz w:val="24"/>
          <w:szCs w:val="24"/>
        </w:rPr>
        <w:t>connecting stories, places and experiences</w:t>
      </w:r>
      <w:r w:rsidRPr="00831390">
        <w:rPr>
          <w:rFonts w:ascii="Arial" w:hAnsi="Arial" w:cs="Arial"/>
          <w:sz w:val="24"/>
          <w:szCs w:val="24"/>
        </w:rPr>
        <w:t>, and encouraging deeper engagement with our shared</w:t>
      </w:r>
      <w:r w:rsidR="00322582">
        <w:rPr>
          <w:rFonts w:ascii="Arial" w:hAnsi="Arial" w:cs="Arial"/>
          <w:sz w:val="24"/>
          <w:szCs w:val="24"/>
        </w:rPr>
        <w:t xml:space="preserve"> and complementary</w:t>
      </w:r>
      <w:r w:rsidRPr="00831390">
        <w:rPr>
          <w:rFonts w:ascii="Arial" w:hAnsi="Arial" w:cs="Arial"/>
          <w:sz w:val="24"/>
          <w:szCs w:val="24"/>
        </w:rPr>
        <w:t xml:space="preserve"> history and cultural offer.</w:t>
      </w:r>
    </w:p>
    <w:p w14:paraId="4BD17377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lastRenderedPageBreak/>
        <w:t>3. Strategic Objectives</w:t>
      </w:r>
    </w:p>
    <w:p w14:paraId="31C693E6" w14:textId="77777777" w:rsidR="004C3362" w:rsidRPr="004C3362" w:rsidRDefault="004C3362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3362">
        <w:rPr>
          <w:rFonts w:ascii="Arial" w:hAnsi="Arial" w:cs="Arial"/>
          <w:sz w:val="24"/>
          <w:szCs w:val="24"/>
        </w:rPr>
        <w:t>Aligned with national and regional tourism priorities, the partnership will seek to:</w:t>
      </w:r>
    </w:p>
    <w:p w14:paraId="2A24A331" w14:textId="04EF1595" w:rsidR="004C3362" w:rsidRPr="004C3362" w:rsidRDefault="004C3362" w:rsidP="00691F03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3362">
        <w:rPr>
          <w:rFonts w:ascii="Arial" w:hAnsi="Arial" w:cs="Arial"/>
          <w:sz w:val="24"/>
          <w:szCs w:val="24"/>
        </w:rPr>
        <w:t xml:space="preserve">Develop the tourism market through joint campaigns, visitor insight, and coordinated information </w:t>
      </w:r>
      <w:r w:rsidR="00324AC9" w:rsidRPr="00753CFA">
        <w:rPr>
          <w:rFonts w:ascii="Arial" w:hAnsi="Arial" w:cs="Arial"/>
          <w:sz w:val="24"/>
          <w:szCs w:val="24"/>
        </w:rPr>
        <w:t>resources.</w:t>
      </w:r>
    </w:p>
    <w:p w14:paraId="5A9550F6" w14:textId="50FE60D7" w:rsidR="004C3362" w:rsidRPr="004C3362" w:rsidRDefault="004C3362" w:rsidP="00691F03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3362">
        <w:rPr>
          <w:rFonts w:ascii="Arial" w:hAnsi="Arial" w:cs="Arial"/>
          <w:sz w:val="24"/>
          <w:szCs w:val="24"/>
        </w:rPr>
        <w:t>Link cultural, heritage, and outdoor experiences across both towns and the surrounding area, working with neighbouring</w:t>
      </w:r>
      <w:r w:rsidR="004A6979" w:rsidRPr="00753CFA">
        <w:rPr>
          <w:rFonts w:ascii="Arial" w:hAnsi="Arial" w:cs="Arial"/>
          <w:sz w:val="24"/>
          <w:szCs w:val="24"/>
        </w:rPr>
        <w:t xml:space="preserve"> town and community</w:t>
      </w:r>
      <w:r w:rsidRPr="004C3362">
        <w:rPr>
          <w:rFonts w:ascii="Arial" w:hAnsi="Arial" w:cs="Arial"/>
          <w:sz w:val="24"/>
          <w:szCs w:val="24"/>
        </w:rPr>
        <w:t xml:space="preserve"> councils</w:t>
      </w:r>
      <w:r w:rsidR="00CF0A38" w:rsidRPr="00753CFA">
        <w:rPr>
          <w:rFonts w:ascii="Arial" w:hAnsi="Arial" w:cs="Arial"/>
          <w:sz w:val="24"/>
          <w:szCs w:val="24"/>
        </w:rPr>
        <w:t xml:space="preserve"> </w:t>
      </w:r>
      <w:r w:rsidR="0049531D">
        <w:rPr>
          <w:rFonts w:ascii="Arial" w:hAnsi="Arial" w:cs="Arial"/>
          <w:sz w:val="24"/>
          <w:szCs w:val="24"/>
        </w:rPr>
        <w:t>-</w:t>
      </w:r>
      <w:r w:rsidR="00CF0A38" w:rsidRPr="00753CFA">
        <w:rPr>
          <w:rFonts w:ascii="Arial" w:hAnsi="Arial" w:cs="Arial"/>
          <w:sz w:val="24"/>
          <w:szCs w:val="24"/>
        </w:rPr>
        <w:t xml:space="preserve"> and principal authorities -</w:t>
      </w:r>
      <w:r w:rsidRPr="004C3362">
        <w:rPr>
          <w:rFonts w:ascii="Arial" w:hAnsi="Arial" w:cs="Arial"/>
          <w:sz w:val="24"/>
          <w:szCs w:val="24"/>
        </w:rPr>
        <w:t xml:space="preserve"> as </w:t>
      </w:r>
      <w:r w:rsidR="00324AC9" w:rsidRPr="00753CFA">
        <w:rPr>
          <w:rFonts w:ascii="Arial" w:hAnsi="Arial" w:cs="Arial"/>
          <w:sz w:val="24"/>
          <w:szCs w:val="24"/>
        </w:rPr>
        <w:t>appropriate.</w:t>
      </w:r>
    </w:p>
    <w:p w14:paraId="2D4FD61E" w14:textId="643D13E1" w:rsidR="004C3362" w:rsidRPr="004C3362" w:rsidRDefault="004C3362" w:rsidP="00691F03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3362">
        <w:rPr>
          <w:rFonts w:ascii="Arial" w:hAnsi="Arial" w:cs="Arial"/>
          <w:sz w:val="24"/>
          <w:szCs w:val="24"/>
        </w:rPr>
        <w:t xml:space="preserve">Promote both destinations collaboratively to domestic and international audiences, under a coherent and flexible </w:t>
      </w:r>
      <w:r w:rsidR="00324AC9" w:rsidRPr="00753CFA">
        <w:rPr>
          <w:rFonts w:ascii="Arial" w:hAnsi="Arial" w:cs="Arial"/>
          <w:sz w:val="24"/>
          <w:szCs w:val="24"/>
        </w:rPr>
        <w:t>narrative.</w:t>
      </w:r>
    </w:p>
    <w:p w14:paraId="6AD61430" w14:textId="3247B5D4" w:rsidR="004C3362" w:rsidRPr="004C3362" w:rsidRDefault="004C3362" w:rsidP="00691F03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3362">
        <w:rPr>
          <w:rFonts w:ascii="Arial" w:hAnsi="Arial" w:cs="Arial"/>
          <w:sz w:val="24"/>
          <w:szCs w:val="24"/>
        </w:rPr>
        <w:t>Explore funding and project opportunities that support shared goals</w:t>
      </w:r>
      <w:r w:rsidR="004A6979" w:rsidRPr="00753CFA">
        <w:rPr>
          <w:rFonts w:ascii="Arial" w:hAnsi="Arial" w:cs="Arial"/>
          <w:sz w:val="24"/>
          <w:szCs w:val="24"/>
        </w:rPr>
        <w:t>.</w:t>
      </w:r>
    </w:p>
    <w:p w14:paraId="31D166BB" w14:textId="77777777" w:rsidR="004C3362" w:rsidRPr="004C3362" w:rsidRDefault="004C3362" w:rsidP="00691F03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3362">
        <w:rPr>
          <w:rFonts w:ascii="Arial" w:hAnsi="Arial" w:cs="Arial"/>
          <w:sz w:val="24"/>
          <w:szCs w:val="24"/>
        </w:rPr>
        <w:t>Ensure that tourism development is sustainable, benefits local communities, and protects heritage assets and the environment.</w:t>
      </w:r>
    </w:p>
    <w:p w14:paraId="139276A6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4. Scope of Collaboration</w:t>
      </w:r>
    </w:p>
    <w:p w14:paraId="2866CFDC" w14:textId="77777777" w:rsidR="008734E0" w:rsidRPr="008734E0" w:rsidRDefault="008734E0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4E0">
        <w:rPr>
          <w:rFonts w:ascii="Arial" w:hAnsi="Arial" w:cs="Arial"/>
          <w:sz w:val="24"/>
          <w:szCs w:val="24"/>
        </w:rPr>
        <w:t>The partnership will focus on areas where collaboration can deliver additional value, including:</w:t>
      </w:r>
    </w:p>
    <w:p w14:paraId="0B40F03C" w14:textId="68CDB117" w:rsidR="008734E0" w:rsidRPr="008734E0" w:rsidRDefault="008734E0" w:rsidP="00691F03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4E0">
        <w:rPr>
          <w:rFonts w:ascii="Arial" w:hAnsi="Arial" w:cs="Arial"/>
          <w:b/>
          <w:bCs/>
          <w:sz w:val="24"/>
          <w:szCs w:val="24"/>
        </w:rPr>
        <w:t>Joint Marketing and Promotion</w:t>
      </w:r>
      <w:r w:rsidRPr="008734E0">
        <w:rPr>
          <w:rFonts w:ascii="Arial" w:hAnsi="Arial" w:cs="Arial"/>
          <w:sz w:val="24"/>
          <w:szCs w:val="24"/>
        </w:rPr>
        <w:t xml:space="preserve"> – including shared branding, itineraries, digital and print media, and cross-promotion</w:t>
      </w:r>
      <w:r>
        <w:rPr>
          <w:rFonts w:ascii="Arial" w:hAnsi="Arial" w:cs="Arial"/>
          <w:sz w:val="24"/>
          <w:szCs w:val="24"/>
        </w:rPr>
        <w:t>.</w:t>
      </w:r>
    </w:p>
    <w:p w14:paraId="554CE1F2" w14:textId="6060E532" w:rsidR="008734E0" w:rsidRPr="008734E0" w:rsidRDefault="008734E0" w:rsidP="00691F03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4E0">
        <w:rPr>
          <w:rFonts w:ascii="Arial" w:hAnsi="Arial" w:cs="Arial"/>
          <w:b/>
          <w:bCs/>
          <w:sz w:val="24"/>
          <w:szCs w:val="24"/>
        </w:rPr>
        <w:t>Events and Festivals</w:t>
      </w:r>
      <w:r w:rsidRPr="008734E0">
        <w:rPr>
          <w:rFonts w:ascii="Arial" w:hAnsi="Arial" w:cs="Arial"/>
          <w:sz w:val="24"/>
          <w:szCs w:val="24"/>
        </w:rPr>
        <w:t xml:space="preserve"> – aligning calendars, co-promoting </w:t>
      </w:r>
      <w:r w:rsidR="00916ADB">
        <w:rPr>
          <w:rFonts w:ascii="Arial" w:hAnsi="Arial" w:cs="Arial"/>
          <w:sz w:val="24"/>
          <w:szCs w:val="24"/>
        </w:rPr>
        <w:t xml:space="preserve">events and </w:t>
      </w:r>
      <w:r w:rsidRPr="008734E0">
        <w:rPr>
          <w:rFonts w:ascii="Arial" w:hAnsi="Arial" w:cs="Arial"/>
          <w:sz w:val="24"/>
          <w:szCs w:val="24"/>
        </w:rPr>
        <w:t>activities, and developing joint programming where appropriate</w:t>
      </w:r>
      <w:r w:rsidR="00916ADB">
        <w:rPr>
          <w:rFonts w:ascii="Arial" w:hAnsi="Arial" w:cs="Arial"/>
          <w:sz w:val="24"/>
          <w:szCs w:val="24"/>
        </w:rPr>
        <w:t>.</w:t>
      </w:r>
    </w:p>
    <w:p w14:paraId="0184EAF1" w14:textId="096DE84F" w:rsidR="008734E0" w:rsidRPr="008734E0" w:rsidRDefault="008734E0" w:rsidP="00691F03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4E0">
        <w:rPr>
          <w:rFonts w:ascii="Arial" w:hAnsi="Arial" w:cs="Arial"/>
          <w:b/>
          <w:bCs/>
          <w:sz w:val="24"/>
          <w:szCs w:val="24"/>
        </w:rPr>
        <w:t>Visitor Experience Development</w:t>
      </w:r>
      <w:r w:rsidRPr="008734E0">
        <w:rPr>
          <w:rFonts w:ascii="Arial" w:hAnsi="Arial" w:cs="Arial"/>
          <w:sz w:val="24"/>
          <w:szCs w:val="24"/>
        </w:rPr>
        <w:t xml:space="preserve"> – coordinating trails, signage, interpretation,</w:t>
      </w:r>
      <w:r w:rsidR="00916ADB">
        <w:rPr>
          <w:rFonts w:ascii="Arial" w:hAnsi="Arial" w:cs="Arial"/>
          <w:sz w:val="24"/>
          <w:szCs w:val="24"/>
        </w:rPr>
        <w:t xml:space="preserve"> transport opportunities,</w:t>
      </w:r>
      <w:r w:rsidRPr="008734E0">
        <w:rPr>
          <w:rFonts w:ascii="Arial" w:hAnsi="Arial" w:cs="Arial"/>
          <w:sz w:val="24"/>
          <w:szCs w:val="24"/>
        </w:rPr>
        <w:t xml:space="preserve"> and wayfinding across the two towns and their connecting routes</w:t>
      </w:r>
      <w:r w:rsidR="008C0F9B">
        <w:rPr>
          <w:rFonts w:ascii="Arial" w:hAnsi="Arial" w:cs="Arial"/>
          <w:sz w:val="24"/>
          <w:szCs w:val="24"/>
        </w:rPr>
        <w:t>.</w:t>
      </w:r>
    </w:p>
    <w:p w14:paraId="6335D3D9" w14:textId="0CE6904A" w:rsidR="008734E0" w:rsidRPr="008734E0" w:rsidRDefault="008734E0" w:rsidP="00691F03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4E0">
        <w:rPr>
          <w:rFonts w:ascii="Arial" w:hAnsi="Arial" w:cs="Arial"/>
          <w:b/>
          <w:bCs/>
          <w:sz w:val="24"/>
          <w:szCs w:val="24"/>
        </w:rPr>
        <w:t>Community and Business Engagement</w:t>
      </w:r>
      <w:r w:rsidRPr="008734E0">
        <w:rPr>
          <w:rFonts w:ascii="Arial" w:hAnsi="Arial" w:cs="Arial"/>
          <w:sz w:val="24"/>
          <w:szCs w:val="24"/>
        </w:rPr>
        <w:t xml:space="preserve"> – involving local cultural organisations, businesses, artists, and volunteers in relevant initiatives</w:t>
      </w:r>
      <w:r w:rsidR="008C0F9B">
        <w:rPr>
          <w:rFonts w:ascii="Arial" w:hAnsi="Arial" w:cs="Arial"/>
          <w:sz w:val="24"/>
          <w:szCs w:val="24"/>
        </w:rPr>
        <w:t>.</w:t>
      </w:r>
    </w:p>
    <w:p w14:paraId="230D23CC" w14:textId="666E70C6" w:rsidR="008734E0" w:rsidRPr="008734E0" w:rsidRDefault="008734E0" w:rsidP="00691F03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4E0">
        <w:rPr>
          <w:rFonts w:ascii="Arial" w:hAnsi="Arial" w:cs="Arial"/>
          <w:b/>
          <w:bCs/>
          <w:sz w:val="24"/>
          <w:szCs w:val="24"/>
        </w:rPr>
        <w:t>Funding Collaboration</w:t>
      </w:r>
      <w:r w:rsidRPr="008734E0">
        <w:rPr>
          <w:rFonts w:ascii="Arial" w:hAnsi="Arial" w:cs="Arial"/>
          <w:sz w:val="24"/>
          <w:szCs w:val="24"/>
        </w:rPr>
        <w:t xml:space="preserve"> – working together to access regional, nationa</w:t>
      </w:r>
      <w:r w:rsidR="00634161">
        <w:rPr>
          <w:rFonts w:ascii="Arial" w:hAnsi="Arial" w:cs="Arial"/>
          <w:sz w:val="24"/>
          <w:szCs w:val="24"/>
        </w:rPr>
        <w:t xml:space="preserve">l </w:t>
      </w:r>
      <w:r w:rsidRPr="008734E0">
        <w:rPr>
          <w:rFonts w:ascii="Arial" w:hAnsi="Arial" w:cs="Arial"/>
          <w:sz w:val="24"/>
          <w:szCs w:val="24"/>
        </w:rPr>
        <w:t>investment</w:t>
      </w:r>
      <w:r w:rsidR="00634161">
        <w:rPr>
          <w:rFonts w:ascii="Arial" w:hAnsi="Arial" w:cs="Arial"/>
          <w:sz w:val="24"/>
          <w:szCs w:val="24"/>
        </w:rPr>
        <w:t xml:space="preserve"> or grant funding.</w:t>
      </w:r>
    </w:p>
    <w:p w14:paraId="4A2300A2" w14:textId="74DDE80C" w:rsidR="008734E0" w:rsidRPr="008734E0" w:rsidRDefault="008734E0" w:rsidP="00691F03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734E0">
        <w:rPr>
          <w:rFonts w:ascii="Arial" w:hAnsi="Arial" w:cs="Arial"/>
          <w:b/>
          <w:bCs/>
          <w:sz w:val="24"/>
          <w:szCs w:val="24"/>
        </w:rPr>
        <w:t>Sharing Good Practice</w:t>
      </w:r>
      <w:r w:rsidRPr="008734E0">
        <w:rPr>
          <w:rFonts w:ascii="Arial" w:hAnsi="Arial" w:cs="Arial"/>
          <w:sz w:val="24"/>
          <w:szCs w:val="24"/>
        </w:rPr>
        <w:t xml:space="preserve"> – through mutual learning and communication via council networks and </w:t>
      </w:r>
      <w:r w:rsidR="00634161">
        <w:rPr>
          <w:rFonts w:ascii="Arial" w:hAnsi="Arial" w:cs="Arial"/>
          <w:sz w:val="24"/>
          <w:szCs w:val="24"/>
        </w:rPr>
        <w:t xml:space="preserve">wider </w:t>
      </w:r>
      <w:r w:rsidRPr="008734E0">
        <w:rPr>
          <w:rFonts w:ascii="Arial" w:hAnsi="Arial" w:cs="Arial"/>
          <w:sz w:val="24"/>
          <w:szCs w:val="24"/>
        </w:rPr>
        <w:t>partnerships</w:t>
      </w:r>
      <w:r w:rsidR="00971285">
        <w:rPr>
          <w:rFonts w:ascii="Arial" w:hAnsi="Arial" w:cs="Arial"/>
          <w:sz w:val="24"/>
          <w:szCs w:val="24"/>
        </w:rPr>
        <w:t xml:space="preserve"> and associations</w:t>
      </w:r>
      <w:r w:rsidR="00875334">
        <w:rPr>
          <w:rFonts w:ascii="Arial" w:hAnsi="Arial" w:cs="Arial"/>
          <w:sz w:val="24"/>
          <w:szCs w:val="24"/>
        </w:rPr>
        <w:t>, including, but not limited to, the Blaenavon World Heritage Site Partnership</w:t>
      </w:r>
      <w:r w:rsidRPr="008734E0">
        <w:rPr>
          <w:rFonts w:ascii="Arial" w:hAnsi="Arial" w:cs="Arial"/>
          <w:sz w:val="24"/>
          <w:szCs w:val="24"/>
        </w:rPr>
        <w:t>.</w:t>
      </w:r>
    </w:p>
    <w:p w14:paraId="6E00E41D" w14:textId="77777777" w:rsidR="0028503B" w:rsidRDefault="002850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58520E" w14:textId="35B14DC2" w:rsidR="00202FDC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lastRenderedPageBreak/>
        <w:t>5. Governance and Membership</w:t>
      </w:r>
    </w:p>
    <w:p w14:paraId="0EC393B9" w14:textId="682BA303" w:rsidR="00B5273E" w:rsidRPr="00B5273E" w:rsidRDefault="00B5273E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273E">
        <w:rPr>
          <w:rFonts w:ascii="Arial" w:hAnsi="Arial" w:cs="Arial"/>
          <w:sz w:val="24"/>
          <w:szCs w:val="24"/>
        </w:rPr>
        <w:t>The partnership will be governed by a Clustering Steering Group, comprising:</w:t>
      </w:r>
    </w:p>
    <w:p w14:paraId="247A49A4" w14:textId="77777777" w:rsidR="00B5273E" w:rsidRPr="00B5273E" w:rsidRDefault="00B5273E" w:rsidP="00691F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273E">
        <w:rPr>
          <w:rFonts w:ascii="Arial" w:hAnsi="Arial" w:cs="Arial"/>
          <w:b/>
          <w:bCs/>
          <w:sz w:val="24"/>
          <w:szCs w:val="24"/>
          <w:highlight w:val="yellow"/>
        </w:rPr>
        <w:t>Three</w:t>
      </w:r>
      <w:r w:rsidRPr="00B5273E">
        <w:rPr>
          <w:rFonts w:ascii="Arial" w:hAnsi="Arial" w:cs="Arial"/>
          <w:sz w:val="24"/>
          <w:szCs w:val="24"/>
        </w:rPr>
        <w:t xml:space="preserve"> councillor representatives from each Town Council; and</w:t>
      </w:r>
    </w:p>
    <w:p w14:paraId="64878352" w14:textId="77777777" w:rsidR="00B5273E" w:rsidRPr="00B5273E" w:rsidRDefault="00B5273E" w:rsidP="00691F0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273E">
        <w:rPr>
          <w:rFonts w:ascii="Arial" w:hAnsi="Arial" w:cs="Arial"/>
          <w:sz w:val="24"/>
          <w:szCs w:val="24"/>
        </w:rPr>
        <w:t>The Proper Officer (or nominated officer) of each Council.</w:t>
      </w:r>
    </w:p>
    <w:p w14:paraId="6A91E1BD" w14:textId="27EFD187" w:rsidR="00B5273E" w:rsidRPr="00B5273E" w:rsidRDefault="00B5273E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273E">
        <w:rPr>
          <w:rFonts w:ascii="Arial" w:hAnsi="Arial" w:cs="Arial"/>
          <w:sz w:val="24"/>
          <w:szCs w:val="24"/>
        </w:rPr>
        <w:t>The Clustering Steering Group will:</w:t>
      </w:r>
    </w:p>
    <w:p w14:paraId="5A56BF35" w14:textId="2CA5964E" w:rsidR="00B5273E" w:rsidRPr="00B5273E" w:rsidRDefault="00B5273E" w:rsidP="00691F03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273E">
        <w:rPr>
          <w:rFonts w:ascii="Arial" w:hAnsi="Arial" w:cs="Arial"/>
          <w:sz w:val="24"/>
          <w:szCs w:val="24"/>
        </w:rPr>
        <w:t xml:space="preserve">Meet </w:t>
      </w:r>
      <w:r w:rsidRPr="00B5273E">
        <w:rPr>
          <w:rFonts w:ascii="Arial" w:hAnsi="Arial" w:cs="Arial"/>
          <w:sz w:val="24"/>
          <w:szCs w:val="24"/>
          <w:highlight w:val="yellow"/>
        </w:rPr>
        <w:t>quarterly</w:t>
      </w:r>
      <w:r w:rsidRPr="00B5273E">
        <w:rPr>
          <w:rFonts w:ascii="Arial" w:hAnsi="Arial" w:cs="Arial"/>
          <w:sz w:val="24"/>
          <w:szCs w:val="24"/>
        </w:rPr>
        <w:t>, or as required</w:t>
      </w:r>
      <w:r>
        <w:rPr>
          <w:rFonts w:ascii="Arial" w:hAnsi="Arial" w:cs="Arial"/>
          <w:sz w:val="24"/>
          <w:szCs w:val="24"/>
        </w:rPr>
        <w:t>.</w:t>
      </w:r>
    </w:p>
    <w:p w14:paraId="41E3F59B" w14:textId="77777777" w:rsidR="00B5273E" w:rsidRDefault="00B5273E" w:rsidP="00691F03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273E">
        <w:rPr>
          <w:rFonts w:ascii="Arial" w:hAnsi="Arial" w:cs="Arial"/>
          <w:sz w:val="24"/>
          <w:szCs w:val="24"/>
        </w:rPr>
        <w:t xml:space="preserve">Elect a Chair annually, </w:t>
      </w:r>
      <w:r w:rsidRPr="00B5273E">
        <w:rPr>
          <w:rFonts w:ascii="Arial" w:hAnsi="Arial" w:cs="Arial"/>
          <w:sz w:val="24"/>
          <w:szCs w:val="24"/>
          <w:highlight w:val="yellow"/>
        </w:rPr>
        <w:t>alternating between the two Councils</w:t>
      </w:r>
      <w:r>
        <w:rPr>
          <w:rFonts w:ascii="Arial" w:hAnsi="Arial" w:cs="Arial"/>
          <w:sz w:val="24"/>
          <w:szCs w:val="24"/>
        </w:rPr>
        <w:t>.</w:t>
      </w:r>
    </w:p>
    <w:p w14:paraId="6C75C63D" w14:textId="7DC3215D" w:rsidR="006148A3" w:rsidRPr="00B5273E" w:rsidRDefault="00B5273E" w:rsidP="00691F03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273E">
        <w:rPr>
          <w:rFonts w:ascii="Arial" w:hAnsi="Arial" w:cs="Arial"/>
          <w:sz w:val="24"/>
          <w:szCs w:val="24"/>
        </w:rPr>
        <w:t>Report formally to each Council on progress, decisions, and recommendations.</w:t>
      </w:r>
    </w:p>
    <w:p w14:paraId="52EF5F9A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6. Principles of Collaboration</w:t>
      </w:r>
    </w:p>
    <w:p w14:paraId="6D13BD75" w14:textId="77777777" w:rsidR="00723B7A" w:rsidRPr="00723B7A" w:rsidRDefault="00723B7A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sz w:val="24"/>
          <w:szCs w:val="24"/>
        </w:rPr>
        <w:t>The Councils agree to uphold the following principles in their work together:</w:t>
      </w:r>
    </w:p>
    <w:p w14:paraId="29582B0A" w14:textId="111CE6BC" w:rsidR="00723B7A" w:rsidRPr="00723B7A" w:rsidRDefault="00723B7A" w:rsidP="00691F0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/>
          <w:bCs/>
          <w:sz w:val="24"/>
          <w:szCs w:val="24"/>
        </w:rPr>
        <w:t>Mutual respect</w:t>
      </w:r>
      <w:r w:rsidRPr="00723B7A">
        <w:rPr>
          <w:rFonts w:ascii="Arial" w:hAnsi="Arial" w:cs="Arial"/>
          <w:sz w:val="24"/>
          <w:szCs w:val="24"/>
        </w:rPr>
        <w:t xml:space="preserve"> – recognising each other’s identities, priorities, and constraints.</w:t>
      </w:r>
    </w:p>
    <w:p w14:paraId="3677EA16" w14:textId="6C25B95F" w:rsidR="00723B7A" w:rsidRPr="00723B7A" w:rsidRDefault="00723B7A" w:rsidP="00691F0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/>
          <w:bCs/>
          <w:sz w:val="24"/>
          <w:szCs w:val="24"/>
        </w:rPr>
        <w:t>Openness and transparency</w:t>
      </w:r>
      <w:r w:rsidRPr="00723B7A">
        <w:rPr>
          <w:rFonts w:ascii="Arial" w:hAnsi="Arial" w:cs="Arial"/>
          <w:sz w:val="24"/>
          <w:szCs w:val="24"/>
        </w:rPr>
        <w:t xml:space="preserve"> – in planning, communication, and decision-making.</w:t>
      </w:r>
    </w:p>
    <w:p w14:paraId="315C2476" w14:textId="477EDE5E" w:rsidR="00723B7A" w:rsidRPr="00723B7A" w:rsidRDefault="00723B7A" w:rsidP="00691F0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/>
          <w:bCs/>
          <w:sz w:val="24"/>
          <w:szCs w:val="24"/>
        </w:rPr>
        <w:t>Shared learning</w:t>
      </w:r>
      <w:r w:rsidRPr="00723B7A">
        <w:rPr>
          <w:rFonts w:ascii="Arial" w:hAnsi="Arial" w:cs="Arial"/>
          <w:sz w:val="24"/>
          <w:szCs w:val="24"/>
        </w:rPr>
        <w:t xml:space="preserve"> – through the exchange of knowledge, insight, and experience.</w:t>
      </w:r>
    </w:p>
    <w:p w14:paraId="36EF8DDF" w14:textId="625F57ED" w:rsidR="00723B7A" w:rsidRPr="00723B7A" w:rsidRDefault="00723B7A" w:rsidP="00691F0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/>
          <w:bCs/>
          <w:sz w:val="24"/>
          <w:szCs w:val="24"/>
        </w:rPr>
        <w:t>Inclusivity</w:t>
      </w:r>
      <w:r w:rsidRPr="00723B7A">
        <w:rPr>
          <w:rFonts w:ascii="Arial" w:hAnsi="Arial" w:cs="Arial"/>
          <w:sz w:val="24"/>
          <w:szCs w:val="24"/>
        </w:rPr>
        <w:t xml:space="preserve"> – encouraging the involvement of a broad range of local stakeholders.</w:t>
      </w:r>
    </w:p>
    <w:p w14:paraId="1F227709" w14:textId="77777777" w:rsidR="00723B7A" w:rsidRPr="00723B7A" w:rsidRDefault="00723B7A" w:rsidP="00691F0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3B7A">
        <w:rPr>
          <w:rFonts w:ascii="Arial" w:hAnsi="Arial" w:cs="Arial"/>
          <w:b/>
          <w:bCs/>
          <w:sz w:val="24"/>
          <w:szCs w:val="24"/>
        </w:rPr>
        <w:t>Responsible use of branding</w:t>
      </w:r>
      <w:r w:rsidRPr="00723B7A">
        <w:rPr>
          <w:rFonts w:ascii="Arial" w:hAnsi="Arial" w:cs="Arial"/>
          <w:sz w:val="24"/>
          <w:szCs w:val="24"/>
        </w:rPr>
        <w:t xml:space="preserve"> – applying shared identity tools consistently and sensitively, without diminishing each town’s character.</w:t>
      </w:r>
    </w:p>
    <w:p w14:paraId="42920073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7. Funding and Resources</w:t>
      </w:r>
    </w:p>
    <w:p w14:paraId="762818C3" w14:textId="77777777" w:rsidR="00202FDC" w:rsidRDefault="00202FDC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Each Council will:</w:t>
      </w:r>
    </w:p>
    <w:p w14:paraId="0BC7B097" w14:textId="68A6533D" w:rsidR="00746F7D" w:rsidRPr="00713E6D" w:rsidRDefault="00746F7D" w:rsidP="00691F0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3E6D">
        <w:rPr>
          <w:rFonts w:ascii="Arial" w:hAnsi="Arial" w:cs="Arial"/>
          <w:sz w:val="24"/>
          <w:szCs w:val="24"/>
        </w:rPr>
        <w:t>Contribute reasonable staff time and in-kind support toward agreed actions.</w:t>
      </w:r>
    </w:p>
    <w:p w14:paraId="318DA926" w14:textId="15F5B781" w:rsidR="00746F7D" w:rsidRPr="00713E6D" w:rsidRDefault="00746F7D" w:rsidP="00691F0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3E6D">
        <w:rPr>
          <w:rFonts w:ascii="Arial" w:hAnsi="Arial" w:cs="Arial"/>
          <w:sz w:val="24"/>
          <w:szCs w:val="24"/>
        </w:rPr>
        <w:t>Explore opportunities for joint funding through programmes such as Visit Wales, UK Shared Prosperity Fund, and National Lottery Heritage Fund.</w:t>
      </w:r>
    </w:p>
    <w:p w14:paraId="7D5847EC" w14:textId="3ECC2D22" w:rsidR="00746F7D" w:rsidRPr="00713E6D" w:rsidRDefault="00746F7D" w:rsidP="00691F0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3E6D">
        <w:rPr>
          <w:rFonts w:ascii="Arial" w:hAnsi="Arial" w:cs="Arial"/>
          <w:sz w:val="24"/>
          <w:szCs w:val="24"/>
        </w:rPr>
        <w:t xml:space="preserve">Afford reasonable consideration to tourism, arts, culture and heritage needs as part of the annual budget-setting process. </w:t>
      </w:r>
    </w:p>
    <w:p w14:paraId="4371FEEB" w14:textId="7ED32A17" w:rsidR="00746F7D" w:rsidRPr="00713E6D" w:rsidRDefault="00746F7D" w:rsidP="00691F0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3E6D">
        <w:rPr>
          <w:rFonts w:ascii="Arial" w:hAnsi="Arial" w:cs="Arial"/>
          <w:sz w:val="24"/>
          <w:szCs w:val="24"/>
        </w:rPr>
        <w:t>Consider appropriate financial contributions to shared initiatives, on a case-by-case basis.</w:t>
      </w:r>
    </w:p>
    <w:p w14:paraId="4FEA0CBB" w14:textId="3EE64F78" w:rsidR="00746F7D" w:rsidRPr="00713E6D" w:rsidRDefault="00746F7D" w:rsidP="00691F0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3E6D">
        <w:rPr>
          <w:rFonts w:ascii="Arial" w:hAnsi="Arial" w:cs="Arial"/>
          <w:sz w:val="24"/>
          <w:szCs w:val="24"/>
        </w:rPr>
        <w:t>Maintain responsibility for financial governance where a Council acts as lead applicant or budget holder for a joint project.</w:t>
      </w:r>
    </w:p>
    <w:p w14:paraId="20E6BC10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8. Monitoring and Reporting</w:t>
      </w:r>
    </w:p>
    <w:p w14:paraId="4EC97B3E" w14:textId="7EB63C3A" w:rsidR="00202FDC" w:rsidRPr="00FA5711" w:rsidRDefault="00202FDC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The </w:t>
      </w:r>
      <w:r w:rsidR="00E61FC6" w:rsidRPr="00FA5711">
        <w:rPr>
          <w:rFonts w:ascii="Arial" w:hAnsi="Arial" w:cs="Arial"/>
          <w:sz w:val="24"/>
          <w:szCs w:val="24"/>
        </w:rPr>
        <w:t>Clustering Steering Group</w:t>
      </w:r>
      <w:r w:rsidRPr="00FA5711">
        <w:rPr>
          <w:rFonts w:ascii="Arial" w:hAnsi="Arial" w:cs="Arial"/>
          <w:sz w:val="24"/>
          <w:szCs w:val="24"/>
        </w:rPr>
        <w:t xml:space="preserve"> will:</w:t>
      </w:r>
    </w:p>
    <w:p w14:paraId="67C72050" w14:textId="77777777" w:rsidR="008F0532" w:rsidRPr="008F0532" w:rsidRDefault="008F0532" w:rsidP="00691F0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0532">
        <w:rPr>
          <w:rFonts w:ascii="Arial" w:hAnsi="Arial" w:cs="Arial"/>
          <w:sz w:val="24"/>
          <w:szCs w:val="24"/>
        </w:rPr>
        <w:t xml:space="preserve">Develop an Annual Action Plan to identify priorities, timelines, and resource </w:t>
      </w:r>
      <w:proofErr w:type="gramStart"/>
      <w:r w:rsidRPr="008F0532">
        <w:rPr>
          <w:rFonts w:ascii="Arial" w:hAnsi="Arial" w:cs="Arial"/>
          <w:sz w:val="24"/>
          <w:szCs w:val="24"/>
        </w:rPr>
        <w:t>needs;</w:t>
      </w:r>
      <w:proofErr w:type="gramEnd"/>
    </w:p>
    <w:p w14:paraId="5D2F830A" w14:textId="77777777" w:rsidR="008F0532" w:rsidRPr="008F0532" w:rsidRDefault="008F0532" w:rsidP="00691F0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0532">
        <w:rPr>
          <w:rFonts w:ascii="Arial" w:hAnsi="Arial" w:cs="Arial"/>
          <w:sz w:val="24"/>
          <w:szCs w:val="24"/>
        </w:rPr>
        <w:t xml:space="preserve">Provide quarterly updates to both </w:t>
      </w:r>
      <w:proofErr w:type="gramStart"/>
      <w:r w:rsidRPr="008F0532">
        <w:rPr>
          <w:rFonts w:ascii="Arial" w:hAnsi="Arial" w:cs="Arial"/>
          <w:sz w:val="24"/>
          <w:szCs w:val="24"/>
        </w:rPr>
        <w:t>Councils;</w:t>
      </w:r>
      <w:proofErr w:type="gramEnd"/>
    </w:p>
    <w:p w14:paraId="02C2F8A5" w14:textId="77777777" w:rsidR="008F0532" w:rsidRPr="008F0532" w:rsidRDefault="008F0532" w:rsidP="00691F0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0532">
        <w:rPr>
          <w:rFonts w:ascii="Arial" w:hAnsi="Arial" w:cs="Arial"/>
          <w:sz w:val="24"/>
          <w:szCs w:val="24"/>
        </w:rPr>
        <w:lastRenderedPageBreak/>
        <w:t>Undertake an annual review of this Charter, including a summary of progress and recommendations for future work.</w:t>
      </w:r>
    </w:p>
    <w:p w14:paraId="4ED7453A" w14:textId="28727AB5" w:rsidR="00202FDC" w:rsidRPr="00FA5711" w:rsidRDefault="00202FDC" w:rsidP="0028503B">
      <w:pPr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9. Duration and Review</w:t>
      </w:r>
    </w:p>
    <w:p w14:paraId="3387A61A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This Charter will take effect upon signature by both Councils and remain valid for </w:t>
      </w:r>
      <w:r w:rsidRPr="00FA5711">
        <w:rPr>
          <w:rFonts w:ascii="Arial" w:hAnsi="Arial" w:cs="Arial"/>
          <w:b/>
          <w:bCs/>
          <w:sz w:val="24"/>
          <w:szCs w:val="24"/>
        </w:rPr>
        <w:t>three years</w:t>
      </w:r>
      <w:r w:rsidRPr="00FA5711">
        <w:rPr>
          <w:rFonts w:ascii="Arial" w:hAnsi="Arial" w:cs="Arial"/>
          <w:sz w:val="24"/>
          <w:szCs w:val="24"/>
        </w:rPr>
        <w:t>, subject to annual review and renewal by mutual agreement.</w:t>
      </w:r>
    </w:p>
    <w:p w14:paraId="75FBF9BA" w14:textId="77777777" w:rsidR="00202FDC" w:rsidRPr="00FA5711" w:rsidRDefault="00202FDC" w:rsidP="00691F0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5711">
        <w:rPr>
          <w:rFonts w:ascii="Arial" w:hAnsi="Arial" w:cs="Arial"/>
          <w:b/>
          <w:bCs/>
          <w:sz w:val="24"/>
          <w:szCs w:val="24"/>
        </w:rPr>
        <w:t>10. Signatories</w:t>
      </w:r>
    </w:p>
    <w:p w14:paraId="057D754F" w14:textId="377D7A64" w:rsidR="006C1458" w:rsidRPr="00FA5711" w:rsidRDefault="006C1458" w:rsidP="00691F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Approved by </w:t>
      </w:r>
      <w:r w:rsidRPr="00FA5711">
        <w:rPr>
          <w:rFonts w:ascii="Arial" w:hAnsi="Arial" w:cs="Arial"/>
          <w:b/>
          <w:bCs/>
          <w:sz w:val="24"/>
          <w:szCs w:val="24"/>
        </w:rPr>
        <w:t>Abergavenny Town Council</w:t>
      </w:r>
      <w:r w:rsidRPr="00FA5711">
        <w:rPr>
          <w:rFonts w:ascii="Arial" w:hAnsi="Arial" w:cs="Arial"/>
          <w:sz w:val="24"/>
          <w:szCs w:val="24"/>
        </w:rPr>
        <w:t xml:space="preserve"> by ordinary resolution on</w:t>
      </w:r>
      <w:r w:rsidR="00E61FC6" w:rsidRPr="00FA5711">
        <w:rPr>
          <w:rFonts w:ascii="Arial" w:hAnsi="Arial" w:cs="Arial"/>
          <w:sz w:val="24"/>
          <w:szCs w:val="24"/>
        </w:rPr>
        <w:t xml:space="preserve"> </w:t>
      </w:r>
      <w:r w:rsidR="00E61FC6" w:rsidRPr="005B79D9">
        <w:rPr>
          <w:rFonts w:ascii="Arial" w:hAnsi="Arial" w:cs="Arial"/>
          <w:sz w:val="24"/>
          <w:szCs w:val="24"/>
          <w:highlight w:val="yellow"/>
        </w:rPr>
        <w:t>DATE</w:t>
      </w:r>
    </w:p>
    <w:p w14:paraId="0D1F6DC9" w14:textId="77777777" w:rsidR="00E61FC6" w:rsidRPr="00FA5711" w:rsidRDefault="00E61FC6" w:rsidP="00691F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5DAF02" w14:textId="379FEBA2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Signed on behalf of </w:t>
      </w:r>
      <w:r w:rsidRPr="00FA5711">
        <w:rPr>
          <w:rFonts w:ascii="Arial" w:hAnsi="Arial" w:cs="Arial"/>
          <w:b/>
          <w:bCs/>
          <w:sz w:val="24"/>
          <w:szCs w:val="24"/>
        </w:rPr>
        <w:t xml:space="preserve">Abergavenny Town Council </w:t>
      </w:r>
      <w:r w:rsidRPr="00FA5711">
        <w:rPr>
          <w:rFonts w:ascii="Arial" w:hAnsi="Arial" w:cs="Arial"/>
          <w:sz w:val="24"/>
          <w:szCs w:val="24"/>
        </w:rPr>
        <w:t>by:</w:t>
      </w:r>
    </w:p>
    <w:p w14:paraId="19A5545F" w14:textId="47536C12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Cllr Philip Bowyer</w:t>
      </w:r>
    </w:p>
    <w:p w14:paraId="67D69927" w14:textId="0F80F246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Mayor of Abergavenny</w:t>
      </w:r>
    </w:p>
    <w:p w14:paraId="7151D194" w14:textId="77777777" w:rsidR="005B79D9" w:rsidRDefault="005B79D9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592BD2" w14:textId="720CD4EF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Signature: ___________________________</w:t>
      </w:r>
    </w:p>
    <w:p w14:paraId="7BEFD357" w14:textId="77777777" w:rsidR="005B79D9" w:rsidRDefault="005B79D9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1ED4CA" w14:textId="6AE2053D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Date: ________________</w:t>
      </w:r>
    </w:p>
    <w:p w14:paraId="7942686D" w14:textId="77777777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4101A6" w14:textId="5334894D" w:rsidR="006C1458" w:rsidRPr="00FA5711" w:rsidRDefault="006C1458" w:rsidP="00691F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Approved by Blaenavon Town Council by ordinary resolution on</w:t>
      </w:r>
      <w:r w:rsidR="00E61FC6" w:rsidRPr="00FA5711">
        <w:rPr>
          <w:rFonts w:ascii="Arial" w:hAnsi="Arial" w:cs="Arial"/>
          <w:sz w:val="24"/>
          <w:szCs w:val="24"/>
        </w:rPr>
        <w:t xml:space="preserve"> </w:t>
      </w:r>
      <w:r w:rsidR="00E61FC6" w:rsidRPr="005B79D9">
        <w:rPr>
          <w:rFonts w:ascii="Arial" w:hAnsi="Arial" w:cs="Arial"/>
          <w:sz w:val="24"/>
          <w:szCs w:val="24"/>
          <w:highlight w:val="yellow"/>
        </w:rPr>
        <w:t>DATE</w:t>
      </w:r>
    </w:p>
    <w:p w14:paraId="683AECEB" w14:textId="77777777" w:rsidR="00E61FC6" w:rsidRPr="00FA5711" w:rsidRDefault="00E61FC6" w:rsidP="00691F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2929C2" w14:textId="3BB21D56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 xml:space="preserve">Signed on behalf of </w:t>
      </w:r>
      <w:r w:rsidRPr="00FA5711">
        <w:rPr>
          <w:rFonts w:ascii="Arial" w:hAnsi="Arial" w:cs="Arial"/>
          <w:b/>
          <w:bCs/>
          <w:sz w:val="24"/>
          <w:szCs w:val="24"/>
        </w:rPr>
        <w:t xml:space="preserve">Blaenavon Town Council </w:t>
      </w:r>
      <w:r w:rsidRPr="00FA5711">
        <w:rPr>
          <w:rFonts w:ascii="Arial" w:hAnsi="Arial" w:cs="Arial"/>
          <w:sz w:val="24"/>
          <w:szCs w:val="24"/>
        </w:rPr>
        <w:t>by:</w:t>
      </w:r>
    </w:p>
    <w:p w14:paraId="4F33AC13" w14:textId="5DA6AEC1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Cllr Lewis Evans</w:t>
      </w:r>
    </w:p>
    <w:p w14:paraId="0C5D4260" w14:textId="07FB120C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Mayor of Blaenavon</w:t>
      </w:r>
    </w:p>
    <w:p w14:paraId="345FDF73" w14:textId="77777777" w:rsidR="005B79D9" w:rsidRDefault="005B79D9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C81ECF" w14:textId="40486538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Signature: ___________________________</w:t>
      </w:r>
    </w:p>
    <w:p w14:paraId="320B2EBD" w14:textId="77777777" w:rsidR="005B79D9" w:rsidRDefault="005B79D9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52E568" w14:textId="5D0C0AE7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5711">
        <w:rPr>
          <w:rFonts w:ascii="Arial" w:hAnsi="Arial" w:cs="Arial"/>
          <w:sz w:val="24"/>
          <w:szCs w:val="24"/>
        </w:rPr>
        <w:t>Date: ________________</w:t>
      </w:r>
    </w:p>
    <w:p w14:paraId="5871AD99" w14:textId="77777777" w:rsidR="00E61FC6" w:rsidRPr="00FA5711" w:rsidRDefault="00E61FC6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A83CF2" w14:textId="3B1C3632" w:rsidR="00202FDC" w:rsidRPr="00FA5711" w:rsidRDefault="00202FDC" w:rsidP="00691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02FDC" w:rsidRPr="00FA5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87"/>
    <w:multiLevelType w:val="multilevel"/>
    <w:tmpl w:val="7798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46B4"/>
    <w:multiLevelType w:val="multilevel"/>
    <w:tmpl w:val="790E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625B6"/>
    <w:multiLevelType w:val="multilevel"/>
    <w:tmpl w:val="CB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54A04"/>
    <w:multiLevelType w:val="multilevel"/>
    <w:tmpl w:val="9B32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86514"/>
    <w:multiLevelType w:val="multilevel"/>
    <w:tmpl w:val="08C2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E0AB4"/>
    <w:multiLevelType w:val="hybridMultilevel"/>
    <w:tmpl w:val="9C20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A03E2"/>
    <w:multiLevelType w:val="multilevel"/>
    <w:tmpl w:val="61EE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D480F"/>
    <w:multiLevelType w:val="multilevel"/>
    <w:tmpl w:val="3390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13FBE"/>
    <w:multiLevelType w:val="hybridMultilevel"/>
    <w:tmpl w:val="44A0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62BC1"/>
    <w:multiLevelType w:val="multilevel"/>
    <w:tmpl w:val="6C3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133B1"/>
    <w:multiLevelType w:val="hybridMultilevel"/>
    <w:tmpl w:val="8886E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115B6"/>
    <w:multiLevelType w:val="multilevel"/>
    <w:tmpl w:val="504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45F6E"/>
    <w:multiLevelType w:val="hybridMultilevel"/>
    <w:tmpl w:val="A2CC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85506"/>
    <w:multiLevelType w:val="hybridMultilevel"/>
    <w:tmpl w:val="0F3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F1BF3"/>
    <w:multiLevelType w:val="hybridMultilevel"/>
    <w:tmpl w:val="D7AE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464870">
    <w:abstractNumId w:val="2"/>
  </w:num>
  <w:num w:numId="2" w16cid:durableId="1481846502">
    <w:abstractNumId w:val="1"/>
  </w:num>
  <w:num w:numId="3" w16cid:durableId="1572078579">
    <w:abstractNumId w:val="11"/>
  </w:num>
  <w:num w:numId="4" w16cid:durableId="714431415">
    <w:abstractNumId w:val="4"/>
  </w:num>
  <w:num w:numId="5" w16cid:durableId="1775200313">
    <w:abstractNumId w:val="6"/>
  </w:num>
  <w:num w:numId="6" w16cid:durableId="1345134336">
    <w:abstractNumId w:val="3"/>
  </w:num>
  <w:num w:numId="7" w16cid:durableId="363755772">
    <w:abstractNumId w:val="9"/>
  </w:num>
  <w:num w:numId="8" w16cid:durableId="5333904">
    <w:abstractNumId w:val="13"/>
  </w:num>
  <w:num w:numId="9" w16cid:durableId="164243734">
    <w:abstractNumId w:val="0"/>
  </w:num>
  <w:num w:numId="10" w16cid:durableId="1845126499">
    <w:abstractNumId w:val="7"/>
  </w:num>
  <w:num w:numId="11" w16cid:durableId="410932872">
    <w:abstractNumId w:val="10"/>
  </w:num>
  <w:num w:numId="12" w16cid:durableId="483277332">
    <w:abstractNumId w:val="8"/>
  </w:num>
  <w:num w:numId="13" w16cid:durableId="1485511583">
    <w:abstractNumId w:val="12"/>
  </w:num>
  <w:num w:numId="14" w16cid:durableId="51004800">
    <w:abstractNumId w:val="14"/>
  </w:num>
  <w:num w:numId="15" w16cid:durableId="1659766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F"/>
    <w:rsid w:val="00035971"/>
    <w:rsid w:val="00036AD9"/>
    <w:rsid w:val="00045213"/>
    <w:rsid w:val="00047E7E"/>
    <w:rsid w:val="00060DBE"/>
    <w:rsid w:val="000F565A"/>
    <w:rsid w:val="00186D4E"/>
    <w:rsid w:val="001C3833"/>
    <w:rsid w:val="00202FDC"/>
    <w:rsid w:val="00266F21"/>
    <w:rsid w:val="0028503B"/>
    <w:rsid w:val="002E1EDB"/>
    <w:rsid w:val="002F1DC8"/>
    <w:rsid w:val="003013EB"/>
    <w:rsid w:val="00322582"/>
    <w:rsid w:val="00324AC9"/>
    <w:rsid w:val="0033702B"/>
    <w:rsid w:val="003B5712"/>
    <w:rsid w:val="003E1231"/>
    <w:rsid w:val="003E1A73"/>
    <w:rsid w:val="003F12F5"/>
    <w:rsid w:val="004449F2"/>
    <w:rsid w:val="00452069"/>
    <w:rsid w:val="00467254"/>
    <w:rsid w:val="00475DE3"/>
    <w:rsid w:val="00484E16"/>
    <w:rsid w:val="0049531D"/>
    <w:rsid w:val="004A6979"/>
    <w:rsid w:val="004B29E8"/>
    <w:rsid w:val="004C2A11"/>
    <w:rsid w:val="004C3362"/>
    <w:rsid w:val="00500DA5"/>
    <w:rsid w:val="00503F92"/>
    <w:rsid w:val="00573042"/>
    <w:rsid w:val="005B16D3"/>
    <w:rsid w:val="005B3850"/>
    <w:rsid w:val="005B646F"/>
    <w:rsid w:val="005B79D9"/>
    <w:rsid w:val="006148A3"/>
    <w:rsid w:val="00634161"/>
    <w:rsid w:val="00676A6F"/>
    <w:rsid w:val="00691F03"/>
    <w:rsid w:val="006C1458"/>
    <w:rsid w:val="00705B3E"/>
    <w:rsid w:val="00713E6D"/>
    <w:rsid w:val="00715E28"/>
    <w:rsid w:val="00717B54"/>
    <w:rsid w:val="00723B7A"/>
    <w:rsid w:val="0073609C"/>
    <w:rsid w:val="00746F7D"/>
    <w:rsid w:val="00753811"/>
    <w:rsid w:val="00753CFA"/>
    <w:rsid w:val="00785020"/>
    <w:rsid w:val="007B1ABD"/>
    <w:rsid w:val="007B5271"/>
    <w:rsid w:val="007B5A5E"/>
    <w:rsid w:val="007E3C6E"/>
    <w:rsid w:val="007F265D"/>
    <w:rsid w:val="008238EE"/>
    <w:rsid w:val="00831390"/>
    <w:rsid w:val="00835F69"/>
    <w:rsid w:val="008734E0"/>
    <w:rsid w:val="00875334"/>
    <w:rsid w:val="008829E5"/>
    <w:rsid w:val="008C0F9B"/>
    <w:rsid w:val="008E4524"/>
    <w:rsid w:val="008F0532"/>
    <w:rsid w:val="00901472"/>
    <w:rsid w:val="0091016B"/>
    <w:rsid w:val="00916ADB"/>
    <w:rsid w:val="00923A4C"/>
    <w:rsid w:val="00940F76"/>
    <w:rsid w:val="00947272"/>
    <w:rsid w:val="0095045B"/>
    <w:rsid w:val="00961F6B"/>
    <w:rsid w:val="00971285"/>
    <w:rsid w:val="00971B0B"/>
    <w:rsid w:val="00975A5E"/>
    <w:rsid w:val="00A52454"/>
    <w:rsid w:val="00A544F4"/>
    <w:rsid w:val="00A7047F"/>
    <w:rsid w:val="00AD3908"/>
    <w:rsid w:val="00AE14EC"/>
    <w:rsid w:val="00AF5E50"/>
    <w:rsid w:val="00B11757"/>
    <w:rsid w:val="00B4269F"/>
    <w:rsid w:val="00B5273E"/>
    <w:rsid w:val="00CA068C"/>
    <w:rsid w:val="00CB5839"/>
    <w:rsid w:val="00CE672A"/>
    <w:rsid w:val="00CF0A38"/>
    <w:rsid w:val="00D027CA"/>
    <w:rsid w:val="00D86C0C"/>
    <w:rsid w:val="00DC1B25"/>
    <w:rsid w:val="00E350EA"/>
    <w:rsid w:val="00E61FC6"/>
    <w:rsid w:val="00E65A0F"/>
    <w:rsid w:val="00E87B8B"/>
    <w:rsid w:val="00EB3C3A"/>
    <w:rsid w:val="00ED21B6"/>
    <w:rsid w:val="00F11062"/>
    <w:rsid w:val="00F12F22"/>
    <w:rsid w:val="00F44ED3"/>
    <w:rsid w:val="00F801DE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DC62"/>
  <w15:chartTrackingRefBased/>
  <w15:docId w15:val="{D8E25491-ED0C-42B2-BD8E-3FC27494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C6"/>
  </w:style>
  <w:style w:type="paragraph" w:styleId="Heading1">
    <w:name w:val="heading 1"/>
    <w:basedOn w:val="Normal"/>
    <w:next w:val="Normal"/>
    <w:link w:val="Heading1Char"/>
    <w:uiPriority w:val="9"/>
    <w:qFormat/>
    <w:rsid w:val="00E65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5459</Characters>
  <Application>Microsoft Office Word</Application>
  <DocSecurity>0</DocSecurity>
  <Lines>209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Matthews</dc:creator>
  <cp:keywords/>
  <dc:description/>
  <cp:lastModifiedBy>Sandra Rosser</cp:lastModifiedBy>
  <cp:revision>2</cp:revision>
  <dcterms:created xsi:type="dcterms:W3CDTF">2025-11-13T11:55:00Z</dcterms:created>
  <dcterms:modified xsi:type="dcterms:W3CDTF">2025-11-13T11:55:00Z</dcterms:modified>
</cp:coreProperties>
</file>